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and maintained automated data pipelines, incorporating Kafka for real-time data ingestion and stream processing to ensure low-latency data availability for downstream analytics.</w:t>
        <w:br/>
      </w:r>
    </w:p>
    <w:p>
      <w:r>
        <w:rPr>
          <w:rFonts w:ascii="Times New Roman" w:hAnsi="Times New Roman"/>
          <w:sz w:val="20"/>
        </w:rPr>
        <w:br/>
        <w:t>• Managed cloud infrastructure using Terraform to provision and scale resources across AWS and GCP, ensuring environment consistency and infrastructure-as-code best practices.</w:t>
        <w:br/>
      </w:r>
    </w:p>
    <w:p>
      <w:r>
        <w:rPr>
          <w:rFonts w:ascii="Times New Roman" w:hAnsi="Times New Roman"/>
          <w:sz w:val="20"/>
        </w:rPr>
        <w:br/>
        <w:t>• Architected distributed systems for data processing, utilizing Snowflake and BigQuery to maintain high performance and scalability for multi-terabyte datasets.</w:t>
        <w:br/>
      </w:r>
    </w:p>
    <w:p>
      <w:r>
        <w:rPr>
          <w:rFonts w:ascii="Times New Roman" w:hAnsi="Times New Roman"/>
          <w:sz w:val="20"/>
        </w:rPr>
        <w:br/>
        <w:t>• Implemented comprehensive monitoring and alerting systems using Datadog and PagerDuty, significantly reducing mean-time-to-resolution (MTTR) during incident management cycles.</w:t>
        <w:br/>
      </w:r>
    </w:p>
    <w:p>
      <w:r>
        <w:rPr>
          <w:rFonts w:ascii="Times New Roman" w:hAnsi="Times New Roman"/>
          <w:sz w:val="20"/>
        </w:rPr>
        <w:br/>
        <w:t>• Developed robust API-driven services and data interfaces, focusing on reliability and fault tolerance in high-traffic production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