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financial data integrity by migrating and reconciling datasets using MS SQL and SSRS, ensuring reporting accuracy across legacy systems.</w:t>
        <w:br/>
      </w:r>
    </w:p>
    <w:p>
      <w:r>
        <w:rPr>
          <w:rFonts w:ascii="Times New Roman" w:hAnsi="Times New Roman"/>
          <w:sz w:val="20"/>
        </w:rPr>
        <w:br/>
        <w:t>• Engineered automated financial reporting solutions using Advanced Excel, integrating VBA macros to debug and streamline complex month-end reconciliation tasks.</w:t>
        <w:br/>
      </w:r>
    </w:p>
    <w:p>
      <w:r>
        <w:rPr>
          <w:rFonts w:ascii="Times New Roman" w:hAnsi="Times New Roman"/>
          <w:sz w:val="20"/>
        </w:rPr>
        <w:br/>
        <w:t>• Performed deep-dive analysis on operational data, reverse engineering legacy scripts and mapping requirements to support firm-wide financial systems and business intelligence.</w:t>
        <w:br/>
      </w:r>
    </w:p>
    <w:p>
      <w:r>
        <w:rPr>
          <w:rFonts w:ascii="Times New Roman" w:hAnsi="Times New Roman"/>
          <w:sz w:val="20"/>
        </w:rPr>
        <w:br/>
        <w:t>• Leveraged experience in data modeling and query optimization (similar to Aderant/SQL environments) to clean insurance and loan testing data, improving systemic data reliability.</w:t>
        <w:br/>
      </w:r>
    </w:p>
    <w:p>
      <w:r>
        <w:rPr>
          <w:rFonts w:ascii="Times New Roman" w:hAnsi="Times New Roman"/>
          <w:sz w:val="20"/>
        </w:rPr>
        <w:br/>
        <w:t>• Collaborated within cross-functional teams to document technical workflows in JIRA, specifically focusing on the transition and integration of data-heavy enterprise platforms.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