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models and transformed raw data into analytics-ready schemas using dbt and Python, establishing consistent metrics and improving data quality across GTM workflows.</w:t>
        <w:br/>
      </w:r>
    </w:p>
    <w:p>
      <w:r>
        <w:rPr>
          <w:rFonts w:ascii="Times New Roman" w:hAnsi="Times New Roman"/>
          <w:sz w:val="20"/>
        </w:rPr>
        <w:br/>
        <w:t>• Conducted comprehensive funnel analysis to map customer journey stages, identifying key conversion bottlenecks and driving actionable strategies to increase lead-to-opportunity ratios.</w:t>
        <w:br/>
      </w:r>
    </w:p>
    <w:p>
      <w:r>
        <w:rPr>
          <w:rFonts w:ascii="Times New Roman" w:hAnsi="Times New Roman"/>
          <w:sz w:val="20"/>
        </w:rPr>
        <w:br/>
        <w:t>• Developed self-service BI reporting in Tableau and Power BI, mirroring Looker’s exploration patterns to provide stakeholders with rapid, reliable visibility into revenue performance.</w:t>
        <w:br/>
      </w:r>
    </w:p>
    <w:p>
      <w:r>
        <w:rPr>
          <w:rFonts w:ascii="Times New Roman" w:hAnsi="Times New Roman"/>
          <w:sz w:val="20"/>
        </w:rPr>
        <w:br/>
        <w:t>• Leveraged statistical analysis, including multivariate regressions, to validate the impact of marketing initiatives on high-value customer acquisition and pipeline growth.</w:t>
        <w:br/>
      </w:r>
    </w:p>
    <w:p>
      <w:r>
        <w:rPr>
          <w:rFonts w:ascii="Times New Roman" w:hAnsi="Times New Roman"/>
          <w:sz w:val="20"/>
        </w:rPr>
        <w:br/>
        <w:t>• Managed large-scale data environments in BigQuery, optimizing SQL query performance and data structures to ensure sub-second latency for executive-level dashboards and ad-hoc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