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operations by implementing T-SQL stored procedures and window functions within PostgreSQL, improving query performance for complex financial reporting.</w:t>
        <w:br/>
      </w:r>
    </w:p>
    <w:p>
      <w:r>
        <w:rPr>
          <w:rFonts w:ascii="Times New Roman" w:hAnsi="Times New Roman"/>
          <w:sz w:val="20"/>
        </w:rPr>
        <w:br/>
        <w:t>• Developed automated testing protocols for ETL pipelines to ensure data quality and integrity, reducing manual error rates by 15% during data migration phases.</w:t>
        <w:br/>
      </w:r>
    </w:p>
    <w:p>
      <w:r>
        <w:rPr>
          <w:rFonts w:ascii="Times New Roman" w:hAnsi="Times New Roman"/>
          <w:sz w:val="20"/>
        </w:rPr>
        <w:br/>
        <w:t>• Championed data governance initiatives by defining master data management standards and documenting data lineage to ensure consistency across departmental reporting.</w:t>
        <w:br/>
      </w:r>
    </w:p>
    <w:p>
      <w:r>
        <w:rPr>
          <w:rFonts w:ascii="Times New Roman" w:hAnsi="Times New Roman"/>
          <w:sz w:val="20"/>
        </w:rPr>
        <w:br/>
        <w:t>• Advanced Power BI reporting capabilities by building sophisticated dashboards using DAX measures and implementing Row-Level Security (RLS) to manage sensitive stakeholder access.</w:t>
        <w:br/>
      </w:r>
    </w:p>
    <w:p>
      <w:r>
        <w:rPr>
          <w:rFonts w:ascii="Times New Roman" w:hAnsi="Times New Roman"/>
          <w:sz w:val="20"/>
        </w:rPr>
        <w:br/>
        <w:t>• Leveraged Power Automate to orchestrate cross-platform data workflows, integrating disparate sources to streamline data intake and reduce processing time.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