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Managed departmental internal websites and SharePoint sites to streamline information sharing, ensuring content accuracy and accessibility for faculty and staff.</w:t>
        <w:br/>
      </w:r>
    </w:p>
    <w:p>
      <w:r>
        <w:rPr>
          <w:rFonts w:ascii="Times New Roman" w:hAnsi="Times New Roman"/>
          <w:sz w:val="20"/>
        </w:rPr>
        <w:br/>
        <w:t>• Drafted and edited complex correspondence, grant proposals, and project reports, maintaining high grammatical standards and proofreading for factual accuracy.</w:t>
        <w:br/>
      </w:r>
    </w:p>
    <w:p>
      <w:r>
        <w:rPr>
          <w:rFonts w:ascii="Times New Roman" w:hAnsi="Times New Roman"/>
          <w:sz w:val="20"/>
        </w:rPr>
        <w:br/>
        <w:t>• Supported the oversight of departmental financial operations, including the preparation of materials for grants and contracts and the regular reconciliation of financial statements.</w:t>
        <w:br/>
      </w:r>
    </w:p>
    <w:p>
      <w:r>
        <w:rPr>
          <w:rFonts w:ascii="Times New Roman" w:hAnsi="Times New Roman"/>
          <w:sz w:val="20"/>
        </w:rPr>
        <w:br/>
        <w:t>• Monitored and interpreted university and departmental policies and procedures, ensuring full compliance while providing clear guidance to staff and faculty members.</w:t>
        <w:br/>
      </w:r>
    </w:p>
    <w:p>
      <w:r>
        <w:rPr>
          <w:rFonts w:ascii="Times New Roman" w:hAnsi="Times New Roman"/>
          <w:sz w:val="20"/>
        </w:rPr>
        <w:br/>
        <w:t>• Coordinated administrative workflow for departmental support staff, providing instruction and oversight to ensure project deliverables were met according to university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