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 and maintain provider clinical and academic calendars while capturing and distributing detailed meeting minutes for division faculty, ensuring 100% accuracy in action item tracking.</w:t>
        <w:br/>
      </w:r>
    </w:p>
    <w:p>
      <w:r>
        <w:rPr>
          <w:rFonts w:ascii="Times New Roman" w:hAnsi="Times New Roman"/>
          <w:sz w:val="20"/>
        </w:rPr>
        <w:br/>
        <w:t>• Utilize advanced Excel functions including VLOOKUP and XLOOKUP to aggregate and synthesize department data, improving reporting efficiency for faculty and administrative leads.</w:t>
        <w:br/>
      </w:r>
    </w:p>
    <w:p>
      <w:r>
        <w:rPr>
          <w:rFonts w:ascii="Times New Roman" w:hAnsi="Times New Roman"/>
          <w:sz w:val="20"/>
        </w:rPr>
        <w:br/>
        <w:t>• Coordinate the end-to-end onboarding process for new providers, including credentialing support, system access setup, and orientation scheduling to ensure seamless integration.</w:t>
        <w:br/>
      </w:r>
    </w:p>
    <w:p>
      <w:r>
        <w:rPr>
          <w:rFonts w:ascii="Times New Roman" w:hAnsi="Times New Roman"/>
          <w:sz w:val="20"/>
        </w:rPr>
        <w:br/>
        <w:t>• Process complex expense reimbursements and supply orders using institutional financial software, maintaining strict adherence to department budget policies.</w:t>
        <w:br/>
      </w:r>
    </w:p>
    <w:p>
      <w:r>
        <w:rPr>
          <w:rFonts w:ascii="Times New Roman" w:hAnsi="Times New Roman"/>
          <w:sz w:val="20"/>
        </w:rPr>
        <w:br/>
        <w:t>• Provide exceptional customer service by serving as the primary point of contact for patients and staff, facilitating smooth clinical operations and professional interactions.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