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Marketing and Finance teams to lead CRM data hygiene initiatives in Salesforce, establishing foundational data governance protocols that mirror HubSpot's architecture.</w:t>
        <w:br/>
      </w:r>
    </w:p>
    <w:p>
      <w:r>
        <w:rPr>
          <w:rFonts w:ascii="Times New Roman" w:hAnsi="Times New Roman"/>
          <w:sz w:val="20"/>
        </w:rPr>
        <w:br/>
        <w:t>• Built predictive revenue forecasting models using Python and SQL to analyze sales pipeline velocity, enabling leadership to optimize territory planning and resource allocation.</w:t>
        <w:br/>
      </w:r>
    </w:p>
    <w:p>
      <w:r>
        <w:rPr>
          <w:rFonts w:ascii="Times New Roman" w:hAnsi="Times New Roman"/>
          <w:sz w:val="20"/>
        </w:rPr>
        <w:br/>
        <w:t>• Developed end-to-end Go-to-Market (GTM) analytics workflows, partnering with commercial stakeholders to translate raw performance data into actionable insights for revenue operations.</w:t>
        <w:br/>
      </w:r>
    </w:p>
    <w:p>
      <w:r>
        <w:rPr>
          <w:rFonts w:ascii="Times New Roman" w:hAnsi="Times New Roman"/>
          <w:sz w:val="20"/>
        </w:rPr>
        <w:br/>
        <w:t>• Leveraged Claude and other AI-powered automation tools to streamline manual data entry and sales reporting tasks, increasing operational productivity across the revenue organization.</w:t>
        <w:br/>
      </w:r>
    </w:p>
    <w:p>
      <w:r>
        <w:rPr>
          <w:rFonts w:ascii="Times New Roman" w:hAnsi="Times New Roman"/>
          <w:sz w:val="20"/>
        </w:rPr>
        <w:br/>
        <w:t>• Analyzed customer acquisition and lifecycle data to support programmatic advertising strategies, aligning sales and marketing KPIs to drive sustainable revenue growth.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