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Designed and executed program evaluation frameworks, utilizing logic models and impact measurement strategies to assess the efficacy of community initiatives.</w:t>
        <w:br/>
      </w:r>
    </w:p>
    <w:p>
      <w:r>
        <w:rPr>
          <w:rFonts w:ascii="Times New Roman" w:hAnsi="Times New Roman"/>
          <w:sz w:val="20"/>
        </w:rPr>
        <w:br/>
        <w:t>• Managed end-to-end survey lifecycles in platforms equivalent to Qualtrics, overseeing question design, logic flow, and data collection to capture actionable participant insights.</w:t>
        <w:br/>
      </w:r>
    </w:p>
    <w:p>
      <w:r>
        <w:rPr>
          <w:rFonts w:ascii="Times New Roman" w:hAnsi="Times New Roman"/>
          <w:sz w:val="20"/>
        </w:rPr>
        <w:br/>
        <w:t>• Drafted comprehensive process documentation and visual workflow diagrams using tools similar to Visio to standardize data governance and reporting procedures across departments.</w:t>
        <w:br/>
      </w:r>
    </w:p>
    <w:p>
      <w:r>
        <w:rPr>
          <w:rFonts w:ascii="Times New Roman" w:hAnsi="Times New Roman"/>
          <w:sz w:val="20"/>
        </w:rPr>
        <w:br/>
        <w:t>• Translated complex program evaluation metrics into accessible, data-driven narratives to support organizational impact studies and grant-reporting requirements.</w:t>
        <w:br/>
      </w:r>
    </w:p>
    <w:p>
      <w:r>
        <w:rPr>
          <w:rFonts w:ascii="Times New Roman" w:hAnsi="Times New Roman"/>
          <w:sz w:val="20"/>
        </w:rPr>
        <w:br/>
        <w:t>• Partnered with cross-functional stakeholders to conduct routine data quality audits, ensuring high integrity in program monitoring and reporting applications.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