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marketing performance by leveraging Google Analytics and CRM data to track campaign measurement across digital advertising channels, ensuring spend alignment with business goals.</w:t>
        <w:br/>
      </w:r>
    </w:p>
    <w:p>
      <w:r>
        <w:rPr>
          <w:rFonts w:ascii="Times New Roman" w:hAnsi="Times New Roman"/>
          <w:sz w:val="20"/>
        </w:rPr>
        <w:br/>
        <w:t>• Utilized Marketing Mix Modeling (MMM) principles to analyze historical campaign data, identifying key drivers of customer acquisition and optimizing future media investment strategies.</w:t>
        <w:br/>
      </w:r>
    </w:p>
    <w:p>
      <w:r>
        <w:rPr>
          <w:rFonts w:ascii="Times New Roman" w:hAnsi="Times New Roman"/>
          <w:sz w:val="20"/>
        </w:rPr>
        <w:br/>
        <w:t>• Managed cross-channel campaign tracking, applying attribution methodologies to evaluate the effectiveness of Search, Social, and Display ads in driving conversion paths.</w:t>
        <w:br/>
      </w:r>
    </w:p>
    <w:p>
      <w:r>
        <w:rPr>
          <w:rFonts w:ascii="Times New Roman" w:hAnsi="Times New Roman"/>
          <w:sz w:val="20"/>
        </w:rPr>
        <w:br/>
        <w:t>• Executed data QA processes for digital advertising data, ensuring structural integrity and alignment with industry-standard programmatic advertising metrics.</w:t>
        <w:br/>
      </w:r>
    </w:p>
    <w:p>
      <w:r>
        <w:rPr>
          <w:rFonts w:ascii="Times New Roman" w:hAnsi="Times New Roman"/>
          <w:sz w:val="20"/>
        </w:rPr>
        <w:br/>
        <w:t>• Applied foundational knowledge of brand lift and health measurement partners to provide actionable insights into the reach and impact of omnichannel marketing campaigns.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