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Institutional Research Specialist (Data Integration) - Office of Institutional Research Analysis opportunity with The City University of New York. I am interested in this opportunity because of CUNY’s long-standing mission to provide high-quality, accessible education to the diverse communities of New York City, and my deep commitment to leveraging data to foster student success. What interests me about working for The City University of New York is its dedication to community transformation, which inspires me because I believe institutional research is the cornerstone of informed, equitable academic strategy. I believe my expertise in advanced data integration and my technical proficiency in SQL and Power BI would make me a strong candidate for this role. During my professional career, I have approached problems by translating complex, disparate datasets into clear, actionable institutional insights. In fact, while at Shine Masters, I identified that our manual reporting was a bottleneck; I developed interactive Power BI dashboards and automated workflows that reduced data processing time by 40%. This shift allowed our leadership to make evidence-based decisions, directly contributing to a 300% increase in customer acquisition. Ultimately, I know that the Institutional Research Specialist role at The City University of New York would allow me to bring my technical skills to the core responsibility of maintaining data integrity across your academic systems. Additionally, my role as a Data Analyst and Operations Lead at Shine Masters enabled me to develop my data quality and automation skills. I audited our intake workflows, cleaned messy datasets, and implemented rigorous validation checks that ensured our reporting was always audit-ready. This experience of managing sensitive data while maintaining strict documentation protocols directly translates to the requirements of the CUNY SoM environment. I’m excited by the opportunity to use my background in ETL pipeline development and stakeholder collaboration in working on the integration of complex educational technologies at The City University of New York. I know that my technical versatility and analytical mindset align with what it takes to succeed in the Institutional Research Specialist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