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cloud-based data warehouses including Snowflake and BigQuery to centralize lending risk datasets, streamlining ETL pipeline performance by 20%.</w:t>
        <w:br/>
      </w:r>
    </w:p>
    <w:p>
      <w:r>
        <w:rPr>
          <w:rFonts w:ascii="Times New Roman" w:hAnsi="Times New Roman"/>
          <w:sz w:val="20"/>
        </w:rPr>
        <w:br/>
        <w:t>• Developed automated workflows for data ingestion into AWS S3, ensuring scalable storage and reliable access for predictive analytics and AI model tuning.</w:t>
        <w:br/>
      </w:r>
    </w:p>
    <w:p>
      <w:r>
        <w:rPr>
          <w:rFonts w:ascii="Times New Roman" w:hAnsi="Times New Roman"/>
          <w:sz w:val="20"/>
        </w:rPr>
        <w:br/>
        <w:t>• Collaborated with cross-functional product teams to design robust data models, ensuring high-quality input for AI-driven agent performance evaluations.</w:t>
        <w:br/>
      </w:r>
    </w:p>
    <w:p>
      <w:r>
        <w:rPr>
          <w:rFonts w:ascii="Times New Roman" w:hAnsi="Times New Roman"/>
          <w:sz w:val="20"/>
        </w:rPr>
        <w:br/>
        <w:t>• Leveraged CRM insights from Salesforce to enhance customer segmentation models, directly informing targeted marketing strategies and operational efficiency.</w:t>
        <w:br/>
      </w:r>
    </w:p>
    <w:p>
      <w:r>
        <w:rPr>
          <w:rFonts w:ascii="Times New Roman" w:hAnsi="Times New Roman"/>
          <w:sz w:val="20"/>
        </w:rPr>
        <w:br/>
        <w:t>• Drafted and maintained comprehensive SOPs for data quality monitoring, reducing manual debugging time by 30% and ensuring consistent, high-fidelity data for stakeholder reporting.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