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data-driven A/B testing frameworks to validate marketing campaign performance, utilizing statistical analysis to measure uplift and guide resource allocation.</w:t>
        <w:br/>
      </w:r>
    </w:p>
    <w:p>
      <w:r>
        <w:rPr>
          <w:rFonts w:ascii="Times New Roman" w:hAnsi="Times New Roman"/>
          <w:sz w:val="20"/>
        </w:rPr>
        <w:br/>
        <w:t>• Partnered with engineering teams to conduct rigorous model evaluation, identifying performance gaps and iterating on data features to improve predictive accuracy.</w:t>
        <w:br/>
      </w:r>
    </w:p>
    <w:p>
      <w:r>
        <w:rPr>
          <w:rFonts w:ascii="Times New Roman" w:hAnsi="Times New Roman"/>
          <w:sz w:val="20"/>
        </w:rPr>
        <w:br/>
        <w:t>• Applied causal inference methodologies to isolate the impact of marketing initiatives, enabling a clearer understanding of customer conversion drivers.</w:t>
        <w:br/>
      </w:r>
    </w:p>
    <w:p>
      <w:r>
        <w:rPr>
          <w:rFonts w:ascii="Times New Roman" w:hAnsi="Times New Roman"/>
          <w:sz w:val="20"/>
        </w:rPr>
        <w:br/>
        <w:t>• Architected and maintained modular data transformation workflows using SQL, transitioning manual processes into automated pipelines consistent with dbt-style best practices.</w:t>
        <w:br/>
      </w:r>
    </w:p>
    <w:p>
      <w:r>
        <w:rPr>
          <w:rFonts w:ascii="Times New Roman" w:hAnsi="Times New Roman"/>
          <w:sz w:val="20"/>
        </w:rPr>
        <w:br/>
        <w:t>• Conducted exploratory analysis on customer behavior datasets to support the development of recommendation systems, translating statistical trends into actionable product strategy.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