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automated reporting workflows using Power Automate and Power BI (DAX/M language) to streamline data integration across departments, replacing manual data entry and ensuring real-time accuracy.</w:t>
        <w:br/>
      </w:r>
    </w:p>
    <w:p>
      <w:r>
        <w:rPr>
          <w:rFonts w:ascii="Times New Roman" w:hAnsi="Times New Roman"/>
          <w:sz w:val="20"/>
        </w:rPr>
        <w:br/>
        <w:t>• Led data mapping and validation initiatives to ensure integrity between source systems and analytics environments, maintaining strict adherence to data privacy regulations and internal security policies.</w:t>
        <w:br/>
      </w:r>
    </w:p>
    <w:p>
      <w:r>
        <w:rPr>
          <w:rFonts w:ascii="Times New Roman" w:hAnsi="Times New Roman"/>
          <w:sz w:val="20"/>
        </w:rPr>
        <w:br/>
        <w:t>• Engineered ETL pipelines to integrate student data from various platforms, optimizing data quality and accessibility for institutional reporting and decision-support tasks.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audit and improve data quality across institutional systems, ensuring compliance with academic standards and reporting mandates.</w:t>
        <w:br/>
      </w:r>
    </w:p>
    <w:p>
      <w:r>
        <w:rPr>
          <w:rFonts w:ascii="Times New Roman" w:hAnsi="Times New Roman"/>
          <w:sz w:val="20"/>
        </w:rPr>
        <w:br/>
        <w:t>• Utilized Python and SQL to conduct power analysis and statistical assessments, supporting institutional research projects focused on student outcomes and enrollment metrics.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