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cross-functional teams to integrate and reconcile data from diverse sources including PostgreSQL databases and financial ERP systems (similar to SAP/PS structures), ensuring data consistency and accuracy for executive reporting.</w:t>
        <w:br/>
      </w:r>
    </w:p>
    <w:p>
      <w:r>
        <w:rPr>
          <w:rFonts w:ascii="Times New Roman" w:hAnsi="Times New Roman"/>
          <w:sz w:val="20"/>
        </w:rPr>
        <w:br/>
        <w:t>• Utilized advanced statistical packages, including Python’s SciPy and Statsmodels, alongside Excel data modeling, to perform diagnostic analysis on consumption patterns and predict future infrastructure maintenance needs.</w:t>
        <w:br/>
      </w:r>
    </w:p>
    <w:p>
      <w:r>
        <w:rPr>
          <w:rFonts w:ascii="Times New Roman" w:hAnsi="Times New Roman"/>
          <w:sz w:val="20"/>
        </w:rPr>
        <w:br/>
        <w:t>• Developed robust data management workflows for large-scale datasets, utilizing techniques equivalent to MS Access database management to organize, query, and clean operational data for consumption analysis.</w:t>
        <w:br/>
      </w:r>
    </w:p>
    <w:p>
      <w:r>
        <w:rPr>
          <w:rFonts w:ascii="Times New Roman" w:hAnsi="Times New Roman"/>
          <w:sz w:val="20"/>
        </w:rPr>
        <w:br/>
        <w:t>• Maintained a valid Driver's License and demonstrated agility in professional environments, including a willingness to visit operational sites to observe and document field-level data collection processes.</w:t>
        <w:br/>
      </w:r>
    </w:p>
    <w:p>
      <w:r>
        <w:rPr>
          <w:rFonts w:ascii="Times New Roman" w:hAnsi="Times New Roman"/>
          <w:sz w:val="20"/>
        </w:rPr>
        <w:br/>
        <w:t>• Leveraged analytical expertise to perform root-cause analysis on operational datasets, identifying trends in asset failure and resource consumption to propose and implement corrective business solutions.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