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relational database queries (CTEs, window functions) to clean and reconcile data across complex financial systems, including legacy database applications similar to SAP or JDE, improving data accuracy by 30%.</w:t>
        <w:br/>
      </w:r>
    </w:p>
    <w:p>
      <w:r>
        <w:rPr>
          <w:rFonts w:ascii="Times New Roman" w:hAnsi="Times New Roman"/>
          <w:sz w:val="20"/>
        </w:rPr>
        <w:br/>
        <w:t>• Developed comprehensive reporting workflows using advanced Excel and MS Access to standardize financial data tracking, ensuring consistent data quality across operational departments.</w:t>
        <w:br/>
      </w:r>
    </w:p>
    <w:p>
      <w:r>
        <w:rPr>
          <w:rFonts w:ascii="Times New Roman" w:hAnsi="Times New Roman"/>
          <w:sz w:val="20"/>
        </w:rPr>
        <w:br/>
        <w:t>• Engineered ETL pipelines in Python to integrate disparate data sources, ensuring seamless data migration and compatibility with enterprise financial database platforms.</w:t>
        <w:br/>
      </w:r>
    </w:p>
    <w:p>
      <w:r>
        <w:rPr>
          <w:rFonts w:ascii="Times New Roman" w:hAnsi="Times New Roman"/>
          <w:sz w:val="20"/>
        </w:rPr>
        <w:br/>
        <w:t>• Conducted predictive maintenance analysis on asset datasets using R and Python, identifying patterns that inform diagnostic models for infrastructure and consumption trends.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