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outlineLvl w:val="2"/>
      </w:pPr>
      <w:r>
        <w:rPr>
          <w:rFonts w:ascii="Arial" w:hAnsi="Arial"/>
          <w:b/>
          <w:sz w:val="27"/>
        </w:rPr>
        <w:t>1.2.5 &amp; 1.3.5-CD NetworkConfig Class Diagram</w:t>
      </w:r>
    </w:p>
    <w:p>
      <w:r>
        <w:drawing>
          <wp:inline xmlns:a="http://schemas.openxmlformats.org/drawingml/2006/main" xmlns:pic="http://schemas.openxmlformats.org/drawingml/2006/picture">
            <wp:extent cx="5029200" cy="2773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_M4_ATeam_APIConfig_v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395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