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C105B" w14:textId="77777777" w:rsidR="000210E7" w:rsidRDefault="000210E7" w:rsidP="000210E7">
      <w:r>
        <w:t>bank leverage and credit supply:</w:t>
      </w:r>
    </w:p>
    <w:p w14:paraId="0F7C2C3B" w14:textId="77777777" w:rsidR="000210E7" w:rsidRDefault="000210E7" w:rsidP="000210E7"/>
    <w:p w14:paraId="29B99D9D" w14:textId="77777777" w:rsidR="000210E7" w:rsidRDefault="000210E7" w:rsidP="000210E7">
      <w:pPr>
        <w:pStyle w:val="ListParagraph"/>
        <w:numPr>
          <w:ilvl w:val="0"/>
          <w:numId w:val="1"/>
        </w:numPr>
      </w:pPr>
      <w:r>
        <w:t>Higher bank capitalization (lower leverage) generally leads to increased credit supply due to enhanced financial stability and the ability to absorb losses.</w:t>
      </w:r>
    </w:p>
    <w:p w14:paraId="50E06321" w14:textId="77777777" w:rsidR="000210E7" w:rsidRDefault="000210E7" w:rsidP="000210E7"/>
    <w:p w14:paraId="4B47D3B0" w14:textId="77777777" w:rsidR="000210E7" w:rsidRDefault="000210E7" w:rsidP="000210E7">
      <w:pPr>
        <w:pStyle w:val="ListParagraph"/>
        <w:numPr>
          <w:ilvl w:val="0"/>
          <w:numId w:val="1"/>
        </w:numPr>
      </w:pPr>
      <w:r>
        <w:t>Highly leveraged banks may face stricter regulatory constraints, which can limit their ability to supply credit, particularly during economic downturns.</w:t>
      </w:r>
    </w:p>
    <w:p w14:paraId="1D90D397" w14:textId="77777777" w:rsidR="000210E7" w:rsidRDefault="000210E7" w:rsidP="000210E7"/>
    <w:p w14:paraId="58121ABA" w14:textId="77777777" w:rsidR="000210E7" w:rsidRDefault="000210E7" w:rsidP="000210E7">
      <w:pPr>
        <w:pStyle w:val="ListParagraph"/>
        <w:numPr>
          <w:ilvl w:val="0"/>
          <w:numId w:val="1"/>
        </w:numPr>
      </w:pPr>
      <w:r>
        <w:t>Banks' credit supply tends to be procyclical, expanding during economic expansions and contracting during downturns. Highly leveraged banks may exhibit more pronounced cyclicality in credit provision.</w:t>
      </w:r>
    </w:p>
    <w:p w14:paraId="4998275D" w14:textId="77777777" w:rsidR="000210E7" w:rsidRDefault="000210E7" w:rsidP="000210E7"/>
    <w:p w14:paraId="6D2AF3CC" w14:textId="77777777" w:rsidR="000210E7" w:rsidRDefault="000210E7" w:rsidP="000210E7">
      <w:pPr>
        <w:pStyle w:val="ListParagraph"/>
        <w:numPr>
          <w:ilvl w:val="0"/>
          <w:numId w:val="1"/>
        </w:numPr>
      </w:pPr>
      <w:r>
        <w:t>Highly leveraged banks might engage in riskier lending practices to compensate for their higher cost of capital, potentially impacting credit supply and contributing to financial instability.</w:t>
      </w:r>
    </w:p>
    <w:p w14:paraId="23D7D139" w14:textId="77777777" w:rsidR="000210E7" w:rsidRDefault="000210E7" w:rsidP="000210E7"/>
    <w:p w14:paraId="1E2A71DB" w14:textId="298231C7" w:rsidR="000210E7" w:rsidRDefault="000210E7" w:rsidP="000210E7">
      <w:pPr>
        <w:pStyle w:val="ListParagraph"/>
        <w:numPr>
          <w:ilvl w:val="0"/>
          <w:numId w:val="1"/>
        </w:numPr>
      </w:pPr>
      <w:r>
        <w:t>Market structure and competitiveness within the banking industry influence credit supply, with less concentrated banking sectors tending to have higher credit provision due to increased competition.</w:t>
      </w:r>
    </w:p>
    <w:p w14:paraId="109F2EBD" w14:textId="77777777" w:rsidR="000210E7" w:rsidRDefault="000210E7" w:rsidP="000210E7"/>
    <w:p w14:paraId="72D72782" w14:textId="77777777" w:rsidR="000210E7" w:rsidRDefault="000210E7" w:rsidP="000210E7"/>
    <w:p w14:paraId="0248D514" w14:textId="45D0B5B1" w:rsidR="000210E7" w:rsidRDefault="000210E7" w:rsidP="000210E7">
      <w:r>
        <w:t>The relationship between bank leverage and credit supply is not straightforward and can vary depending on the specific circumstances and economic conditions. While less leveraged banks may have a higher capacity to provide credit in certain situations, it is important to consider other factors that influence credit supply.</w:t>
      </w:r>
    </w:p>
    <w:p w14:paraId="3F22FF5C" w14:textId="77777777" w:rsidR="000210E7" w:rsidRDefault="000210E7" w:rsidP="000210E7"/>
    <w:p w14:paraId="3CAB54E0" w14:textId="77777777" w:rsidR="000210E7" w:rsidRDefault="000210E7" w:rsidP="000210E7">
      <w:r>
        <w:t>Leverage refers to the use of borrowed funds to finance assets. Banks typically employ leverage by using a combination of equity and debt to fund their operations and lending activities. Higher leverage ratios indicate that a bank has a larger proportion of debt relative to equity.</w:t>
      </w:r>
    </w:p>
    <w:p w14:paraId="13E3E7CD" w14:textId="77777777" w:rsidR="000210E7" w:rsidRDefault="000210E7" w:rsidP="000210E7"/>
    <w:p w14:paraId="29404F75" w14:textId="77777777" w:rsidR="000210E7" w:rsidRDefault="000210E7" w:rsidP="000210E7">
      <w:r>
        <w:t>In some cases, less leveraged banks may have more stability and financial strength, which could potentially enable them to supply more credit. They may be less vulnerable to economic downturns or financial shocks, allowing them to maintain lending activities during challenging times when highly leveraged banks might face difficulties.</w:t>
      </w:r>
    </w:p>
    <w:p w14:paraId="233506E2" w14:textId="77777777" w:rsidR="000210E7" w:rsidRDefault="000210E7" w:rsidP="000210E7"/>
    <w:p w14:paraId="4455DB9A" w14:textId="77777777" w:rsidR="000210E7" w:rsidRDefault="000210E7" w:rsidP="000210E7">
      <w:r>
        <w:lastRenderedPageBreak/>
        <w:t>Less leveraged banks may also face fewer regulatory constraints and capital requirements. Regulatory authorities often impose stricter capital adequacy standards on highly leveraged banks to ensure their financial stability and protect against systemic risks. Consequently, less leveraged banks may have more flexibility to extend credit without facing the same regulatory constraints.</w:t>
      </w:r>
    </w:p>
    <w:p w14:paraId="2CD67212" w14:textId="77777777" w:rsidR="000210E7" w:rsidRDefault="000210E7" w:rsidP="000210E7"/>
    <w:p w14:paraId="39E2EF30" w14:textId="77777777" w:rsidR="000210E7" w:rsidRDefault="000210E7" w:rsidP="000210E7">
      <w:r>
        <w:t>However, it is important to note that the relationship between leverage and credit supply is not solely determined by leverage ratios. Various factors, including the overall health of the economy, monetary policy, market conditions, and the quality of a bank's loan portfolio, can significantly impact a bank's willingness and ability to provide credit.</w:t>
      </w:r>
    </w:p>
    <w:p w14:paraId="51FEC553" w14:textId="77777777" w:rsidR="000210E7" w:rsidRDefault="000210E7" w:rsidP="000210E7"/>
    <w:p w14:paraId="35E4E688" w14:textId="77777777" w:rsidR="000210E7" w:rsidRDefault="000210E7" w:rsidP="000210E7">
      <w:r>
        <w:t>During periods of economic expansion and optimism, highly leveraged banks may be more willing to extend credit, as they seek to take advantage of opportunities for higher profits. Conversely, during economic downturns or financial crises, highly leveraged banks may be more cautious and reduce credit supply to mitigate risks.</w:t>
      </w:r>
    </w:p>
    <w:p w14:paraId="296CC008" w14:textId="77777777" w:rsidR="000210E7" w:rsidRDefault="000210E7" w:rsidP="000210E7"/>
    <w:p w14:paraId="4C0FB777" w14:textId="77777777" w:rsidR="000210E7" w:rsidRDefault="000210E7" w:rsidP="000210E7">
      <w:r>
        <w:t>In summary, while less leveraged banks may have certain advantages that could potentially allow them to supply more credit in some circumstances, the relationship between bank leverage and credit supply is complex and influenced by multiple factors. It is essential to consider the broader economic and regulatory environment when assessing the impact of leverage on credit provision.</w:t>
      </w:r>
    </w:p>
    <w:p w14:paraId="1472BA2B" w14:textId="77777777" w:rsidR="000210E7" w:rsidRDefault="000210E7" w:rsidP="000210E7">
      <w:r>
        <w:t>Bank Capital and Credit Supply: Research suggests that higher bank capitalization (lower leverage) generally leads to increased credit supply. Banks with higher capital ratios tend to have greater financial stability and are better positioned to absorb losses, which enhances their ability to provide credit to borrowers.</w:t>
      </w:r>
    </w:p>
    <w:p w14:paraId="105CD047" w14:textId="77777777" w:rsidR="000210E7" w:rsidRDefault="000210E7" w:rsidP="000210E7"/>
    <w:p w14:paraId="53AEE04D" w14:textId="77777777" w:rsidR="000210E7" w:rsidRDefault="000210E7" w:rsidP="000210E7">
      <w:r>
        <w:t>Regulatory Constraints: Highly leveraged banks may face more stringent regulatory constraints due to capital adequacy requirements. This can limit their ability to supply credit, especially during economic downturns when regulatory authorities might impose stricter capital requirements to safeguard the stability of the financial system.</w:t>
      </w:r>
    </w:p>
    <w:p w14:paraId="76DFBFC3" w14:textId="77777777" w:rsidR="000210E7" w:rsidRDefault="000210E7" w:rsidP="000210E7"/>
    <w:p w14:paraId="00CC9B39" w14:textId="77777777" w:rsidR="000210E7" w:rsidRDefault="000210E7" w:rsidP="000210E7">
      <w:r>
        <w:t>Credit Cycles: Studies have found that banks' credit supply tends to be procyclical, meaning it expands during periods of economic expansion and contracts during downturns. Highly leveraged banks might exhibit more pronounced cyclicality in their credit provision, as they may be more susceptible to systemic risks and market conditions.</w:t>
      </w:r>
    </w:p>
    <w:p w14:paraId="446B8517" w14:textId="77777777" w:rsidR="000210E7" w:rsidRDefault="000210E7" w:rsidP="000210E7"/>
    <w:p w14:paraId="6BDDA3B6" w14:textId="77777777" w:rsidR="000210E7" w:rsidRDefault="000210E7" w:rsidP="000210E7">
      <w:r>
        <w:t xml:space="preserve">Risk-Taking Behavior: Highly leveraged banks might engage in riskier lending practices to generate higher returns and compensate for their higher cost of capital. This behavior can have implications for credit </w:t>
      </w:r>
      <w:r>
        <w:lastRenderedPageBreak/>
        <w:t>supply and the overall stability of the financial system, as excessive risk-taking can contribute to financial crises.</w:t>
      </w:r>
    </w:p>
    <w:p w14:paraId="30DE790D" w14:textId="77777777" w:rsidR="000210E7" w:rsidRDefault="000210E7" w:rsidP="000210E7"/>
    <w:p w14:paraId="61D6ABFB" w14:textId="77777777" w:rsidR="000210E7" w:rsidRDefault="000210E7" w:rsidP="000210E7">
      <w:r>
        <w:t>Market Structure: The market structure and competitiveness within the banking industry can influence credit supply. Studies suggest that less concentrated banking sectors, with a larger number of banks, tend to have higher credit provision. In such environments, banks may face more intense competition, leading to increased credit supply.</w:t>
      </w:r>
    </w:p>
    <w:p w14:paraId="0390A83C" w14:textId="77777777" w:rsidR="000210E7" w:rsidRDefault="000210E7" w:rsidP="000210E7"/>
    <w:p w14:paraId="11FE31CA" w14:textId="5F92B66C" w:rsidR="000210E7" w:rsidRDefault="000210E7" w:rsidP="000210E7">
      <w:r>
        <w:t>It's important to note that research findings can vary depending on the specific context, time period, and methodology used in each study. Economic conditions, regulatory frameworks, and the characteristics of individual banks also play a significant role in determining the relationship between bank leverage and credit supply.</w:t>
      </w:r>
    </w:p>
    <w:p w14:paraId="5FC8D8E4" w14:textId="77777777" w:rsidR="000210E7" w:rsidRDefault="000210E7" w:rsidP="000210E7"/>
    <w:p w14:paraId="19D9ACFC" w14:textId="636C9A57" w:rsidR="00187842" w:rsidRPr="00187842" w:rsidRDefault="00187842" w:rsidP="000210E7">
      <w:pPr>
        <w:rPr>
          <w:b/>
          <w:bCs/>
        </w:rPr>
      </w:pPr>
      <w:r w:rsidRPr="00187842">
        <w:rPr>
          <w:b/>
          <w:bCs/>
        </w:rPr>
        <w:t xml:space="preserve">In my case: the results are different (opposite –positive association) </w:t>
      </w:r>
      <w:r w:rsidR="009637BF">
        <w:rPr>
          <w:rStyle w:val="FootnoteReference"/>
          <w:b/>
          <w:bCs/>
        </w:rPr>
        <w:footnoteReference w:id="1"/>
      </w:r>
      <w:r w:rsidRPr="00187842">
        <w:rPr>
          <w:b/>
          <w:bCs/>
        </w:rPr>
        <w:t>–why???</w:t>
      </w:r>
      <w:r>
        <w:rPr>
          <w:b/>
          <w:bCs/>
        </w:rPr>
        <w:t xml:space="preserve"> Confounding factors</w:t>
      </w:r>
    </w:p>
    <w:p w14:paraId="2085C41C" w14:textId="77777777" w:rsidR="00187842" w:rsidRDefault="00187842" w:rsidP="00187842">
      <w:pPr>
        <w:pStyle w:val="ListParagraph"/>
        <w:numPr>
          <w:ilvl w:val="0"/>
          <w:numId w:val="2"/>
        </w:numPr>
      </w:pPr>
      <w:r>
        <w:t>Increased Risk Appetite: Banks with higher leverage ratios might have a greater appetite for risk, leading them to engage in more aggressive lending practices. This increased risk-taking behavior can result in higher growth rates of lending.</w:t>
      </w:r>
    </w:p>
    <w:p w14:paraId="595458DE" w14:textId="0E1885EB" w:rsidR="00187842" w:rsidRDefault="00187842" w:rsidP="00187842">
      <w:pPr>
        <w:pStyle w:val="ListParagraph"/>
        <w:numPr>
          <w:ilvl w:val="0"/>
          <w:numId w:val="2"/>
        </w:numPr>
      </w:pPr>
      <w:r>
        <w:t>Capital Efficiency: Higher leverage ratios allow banks to operate with a lower proportion of equity capital relative to their total assets. This can enhance capital efficiency and enable banks to generate higher lending growth by deploying more of their resources for lending activities.</w:t>
      </w:r>
    </w:p>
    <w:p w14:paraId="631E0FBC" w14:textId="3AF98EE8" w:rsidR="00187842" w:rsidRDefault="00187842" w:rsidP="00187842">
      <w:pPr>
        <w:pStyle w:val="ListParagraph"/>
        <w:numPr>
          <w:ilvl w:val="0"/>
          <w:numId w:val="2"/>
        </w:numPr>
      </w:pPr>
      <w:r>
        <w:t>Favorable Market Conditions: During periods of economic expansion or when credit demand is strong, banks may leverage their capital base to meet the increased borrowing needs of individuals and businesses. This can result in a positive relationship between leverage and lending growth.</w:t>
      </w:r>
    </w:p>
    <w:p w14:paraId="49750CBE" w14:textId="743B9FD8" w:rsidR="00187842" w:rsidRDefault="00187842" w:rsidP="00187842">
      <w:pPr>
        <w:pStyle w:val="ListParagraph"/>
        <w:numPr>
          <w:ilvl w:val="0"/>
          <w:numId w:val="2"/>
        </w:numPr>
      </w:pPr>
      <w:r>
        <w:t>Access to Funding: Banks with higher leverage ratios may have greater access to external funding sources, such as debt markets, which can provide them with the necessary liquidity to expand their lending portfolios. This access to funding can facilitate higher growth rates of lending.</w:t>
      </w:r>
    </w:p>
    <w:p w14:paraId="2A76AC77" w14:textId="77777777" w:rsidR="00187842" w:rsidRDefault="00187842" w:rsidP="00187842">
      <w:pPr>
        <w:pStyle w:val="ListParagraph"/>
        <w:numPr>
          <w:ilvl w:val="0"/>
          <w:numId w:val="2"/>
        </w:numPr>
      </w:pPr>
      <w:r>
        <w:t>Regulatory Environment: The regulatory environment can also play a role. In some cases, regulatory frameworks may incentivize banks to increase lending by providing certain benefits or allowances for banks with higher leverage ratios, encouraging lending growth.</w:t>
      </w:r>
    </w:p>
    <w:p w14:paraId="543CB6EB" w14:textId="77777777" w:rsidR="009637BF" w:rsidRDefault="009637BF" w:rsidP="00187842"/>
    <w:p w14:paraId="5D6D840C" w14:textId="7C5C0782" w:rsidR="009637BF" w:rsidRDefault="009637BF" w:rsidP="00187842">
      <w:r>
        <w:lastRenderedPageBreak/>
        <w:t>Credit growth and leverage ---positive</w:t>
      </w:r>
    </w:p>
    <w:p w14:paraId="51B986C1" w14:textId="77777777" w:rsidR="00187842" w:rsidRDefault="00187842" w:rsidP="00187842"/>
    <w:p w14:paraId="5511271D" w14:textId="77777777" w:rsidR="00187842" w:rsidRDefault="00187842" w:rsidP="000210E7"/>
    <w:p w14:paraId="48EA93E9" w14:textId="77777777" w:rsidR="00187842" w:rsidRDefault="00187842" w:rsidP="000210E7"/>
    <w:p w14:paraId="2BBF42D2" w14:textId="77777777" w:rsidR="00187842" w:rsidRDefault="00187842" w:rsidP="000210E7"/>
    <w:p w14:paraId="54657766" w14:textId="77777777" w:rsidR="00187842" w:rsidRDefault="00187842" w:rsidP="000210E7"/>
    <w:p w14:paraId="198C62D7" w14:textId="77777777" w:rsidR="000210E7" w:rsidRDefault="000210E7" w:rsidP="000210E7"/>
    <w:sectPr w:rsidR="000210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1AE1D" w14:textId="77777777" w:rsidR="008C0296" w:rsidRDefault="008C0296" w:rsidP="009637BF">
      <w:pPr>
        <w:spacing w:after="0" w:line="240" w:lineRule="auto"/>
      </w:pPr>
      <w:r>
        <w:separator/>
      </w:r>
    </w:p>
  </w:endnote>
  <w:endnote w:type="continuationSeparator" w:id="0">
    <w:p w14:paraId="6001844E" w14:textId="77777777" w:rsidR="008C0296" w:rsidRDefault="008C0296" w:rsidP="00963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02AB4" w14:textId="77777777" w:rsidR="008C0296" w:rsidRDefault="008C0296" w:rsidP="009637BF">
      <w:pPr>
        <w:spacing w:after="0" w:line="240" w:lineRule="auto"/>
      </w:pPr>
      <w:r>
        <w:separator/>
      </w:r>
    </w:p>
  </w:footnote>
  <w:footnote w:type="continuationSeparator" w:id="0">
    <w:p w14:paraId="097555CA" w14:textId="77777777" w:rsidR="008C0296" w:rsidRDefault="008C0296" w:rsidP="009637BF">
      <w:pPr>
        <w:spacing w:after="0" w:line="240" w:lineRule="auto"/>
      </w:pPr>
      <w:r>
        <w:continuationSeparator/>
      </w:r>
    </w:p>
  </w:footnote>
  <w:footnote w:id="1">
    <w:p w14:paraId="5869D97E" w14:textId="4E414E81" w:rsidR="009637BF" w:rsidRDefault="009637BF" w:rsidP="009637BF">
      <w:r>
        <w:rPr>
          <w:rStyle w:val="FootnoteReference"/>
        </w:rPr>
        <w:footnoteRef/>
      </w:r>
      <w:r>
        <w:t xml:space="preserve"> </w:t>
      </w:r>
      <w:r>
        <w:t xml:space="preserve">Alessi, L., &amp; Detken, C. (2018). Identifying excessive credit growth and leverage. </w:t>
      </w:r>
      <w:r>
        <w:rPr>
          <w:i/>
          <w:iCs/>
        </w:rPr>
        <w:t>Journal of Financial Stability</w:t>
      </w:r>
      <w:r>
        <w:t xml:space="preserve">, </w:t>
      </w:r>
      <w:r>
        <w:rPr>
          <w:i/>
          <w:iCs/>
        </w:rPr>
        <w:t>35</w:t>
      </w:r>
      <w:r>
        <w:t xml:space="preserve">, 215-225. </w:t>
      </w:r>
      <w:hyperlink r:id="rId1" w:history="1">
        <w:r w:rsidRPr="00BB2C09">
          <w:rPr>
            <w:rStyle w:val="Hyperlink"/>
          </w:rPr>
          <w:t>https://doi.org/10.1016/j.jfs.2017.06.005</w:t>
        </w:r>
      </w:hyperlink>
      <w:r w:rsidR="000039BF">
        <w:t xml:space="preserve"> (early warning system on credit cycle)</w:t>
      </w:r>
    </w:p>
    <w:p w14:paraId="5DF7DBE6" w14:textId="41721F2D" w:rsidR="009637BF" w:rsidRDefault="009637BF" w:rsidP="009637BF">
      <w:r w:rsidRPr="009637BF">
        <w:t xml:space="preserve">Jordà, Ò., Schularick, M. &amp; Taylor, A. Financial Crises, Credit Booms, and External Imbalances: 140 Years of Lessons. IMF Econ Rev 59, 340–378 (2011). </w:t>
      </w:r>
      <w:hyperlink r:id="rId2" w:history="1">
        <w:r w:rsidR="004A2886" w:rsidRPr="00BB2C09">
          <w:rPr>
            <w:rStyle w:val="Hyperlink"/>
          </w:rPr>
          <w:t>https://doi.org/10.1057/imfer.2011.8</w:t>
        </w:r>
      </w:hyperlink>
      <w:r w:rsidR="004A2886">
        <w:t xml:space="preserve">  (expansionary policy –banks expands the balancesheet through leverage and extend their credit lending…. Which increased chance for the financial collapse and higher systemic risk in banking sectors)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33583"/>
    <w:multiLevelType w:val="hybridMultilevel"/>
    <w:tmpl w:val="3F785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58647F"/>
    <w:multiLevelType w:val="hybridMultilevel"/>
    <w:tmpl w:val="2F926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4049564">
    <w:abstractNumId w:val="1"/>
  </w:num>
  <w:num w:numId="2" w16cid:durableId="1670253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FDB"/>
    <w:rsid w:val="000039BF"/>
    <w:rsid w:val="000210E7"/>
    <w:rsid w:val="00187842"/>
    <w:rsid w:val="004A2886"/>
    <w:rsid w:val="00846B04"/>
    <w:rsid w:val="008C0296"/>
    <w:rsid w:val="009637BF"/>
    <w:rsid w:val="00BA3608"/>
    <w:rsid w:val="00E40050"/>
    <w:rsid w:val="00E94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4DEEC"/>
  <w15:chartTrackingRefBased/>
  <w15:docId w15:val="{8D5ABF78-6CCF-4289-9C66-5E2EE1FEB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0E7"/>
    <w:pPr>
      <w:ind w:left="720"/>
      <w:contextualSpacing/>
    </w:pPr>
  </w:style>
  <w:style w:type="paragraph" w:styleId="FootnoteText">
    <w:name w:val="footnote text"/>
    <w:basedOn w:val="Normal"/>
    <w:link w:val="FootnoteTextChar"/>
    <w:uiPriority w:val="99"/>
    <w:semiHidden/>
    <w:unhideWhenUsed/>
    <w:rsid w:val="009637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37BF"/>
    <w:rPr>
      <w:sz w:val="20"/>
      <w:szCs w:val="20"/>
    </w:rPr>
  </w:style>
  <w:style w:type="character" w:styleId="FootnoteReference">
    <w:name w:val="footnote reference"/>
    <w:basedOn w:val="DefaultParagraphFont"/>
    <w:uiPriority w:val="99"/>
    <w:semiHidden/>
    <w:unhideWhenUsed/>
    <w:rsid w:val="009637BF"/>
    <w:rPr>
      <w:vertAlign w:val="superscript"/>
    </w:rPr>
  </w:style>
  <w:style w:type="character" w:styleId="Hyperlink">
    <w:name w:val="Hyperlink"/>
    <w:basedOn w:val="DefaultParagraphFont"/>
    <w:uiPriority w:val="99"/>
    <w:unhideWhenUsed/>
    <w:rsid w:val="009637BF"/>
    <w:rPr>
      <w:color w:val="0563C1" w:themeColor="hyperlink"/>
      <w:u w:val="single"/>
    </w:rPr>
  </w:style>
  <w:style w:type="character" w:styleId="UnresolvedMention">
    <w:name w:val="Unresolved Mention"/>
    <w:basedOn w:val="DefaultParagraphFont"/>
    <w:uiPriority w:val="99"/>
    <w:semiHidden/>
    <w:unhideWhenUsed/>
    <w:rsid w:val="009637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550710">
      <w:bodyDiv w:val="1"/>
      <w:marLeft w:val="0"/>
      <w:marRight w:val="0"/>
      <w:marTop w:val="0"/>
      <w:marBottom w:val="0"/>
      <w:divBdr>
        <w:top w:val="none" w:sz="0" w:space="0" w:color="auto"/>
        <w:left w:val="none" w:sz="0" w:space="0" w:color="auto"/>
        <w:bottom w:val="none" w:sz="0" w:space="0" w:color="auto"/>
        <w:right w:val="none" w:sz="0" w:space="0" w:color="auto"/>
      </w:divBdr>
      <w:divsChild>
        <w:div w:id="631138934">
          <w:marLeft w:val="0"/>
          <w:marRight w:val="0"/>
          <w:marTop w:val="0"/>
          <w:marBottom w:val="0"/>
          <w:divBdr>
            <w:top w:val="single" w:sz="2" w:space="0" w:color="D9D9E3"/>
            <w:left w:val="single" w:sz="2" w:space="0" w:color="D9D9E3"/>
            <w:bottom w:val="single" w:sz="2" w:space="0" w:color="D9D9E3"/>
            <w:right w:val="single" w:sz="2" w:space="0" w:color="D9D9E3"/>
          </w:divBdr>
          <w:divsChild>
            <w:div w:id="1863931074">
              <w:marLeft w:val="0"/>
              <w:marRight w:val="0"/>
              <w:marTop w:val="0"/>
              <w:marBottom w:val="0"/>
              <w:divBdr>
                <w:top w:val="single" w:sz="2" w:space="0" w:color="D9D9E3"/>
                <w:left w:val="single" w:sz="2" w:space="0" w:color="D9D9E3"/>
                <w:bottom w:val="single" w:sz="2" w:space="0" w:color="D9D9E3"/>
                <w:right w:val="single" w:sz="2" w:space="0" w:color="D9D9E3"/>
              </w:divBdr>
              <w:divsChild>
                <w:div w:id="1982613141">
                  <w:marLeft w:val="0"/>
                  <w:marRight w:val="0"/>
                  <w:marTop w:val="0"/>
                  <w:marBottom w:val="0"/>
                  <w:divBdr>
                    <w:top w:val="single" w:sz="2" w:space="0" w:color="D9D9E3"/>
                    <w:left w:val="single" w:sz="2" w:space="0" w:color="D9D9E3"/>
                    <w:bottom w:val="single" w:sz="2" w:space="0" w:color="D9D9E3"/>
                    <w:right w:val="single" w:sz="2" w:space="0" w:color="D9D9E3"/>
                  </w:divBdr>
                  <w:divsChild>
                    <w:div w:id="1160773852">
                      <w:marLeft w:val="0"/>
                      <w:marRight w:val="0"/>
                      <w:marTop w:val="0"/>
                      <w:marBottom w:val="0"/>
                      <w:divBdr>
                        <w:top w:val="single" w:sz="2" w:space="0" w:color="D9D9E3"/>
                        <w:left w:val="single" w:sz="2" w:space="0" w:color="D9D9E3"/>
                        <w:bottom w:val="single" w:sz="2" w:space="0" w:color="D9D9E3"/>
                        <w:right w:val="single" w:sz="2" w:space="0" w:color="D9D9E3"/>
                      </w:divBdr>
                      <w:divsChild>
                        <w:div w:id="1111317716">
                          <w:marLeft w:val="0"/>
                          <w:marRight w:val="0"/>
                          <w:marTop w:val="0"/>
                          <w:marBottom w:val="0"/>
                          <w:divBdr>
                            <w:top w:val="single" w:sz="2" w:space="0" w:color="auto"/>
                            <w:left w:val="single" w:sz="2" w:space="0" w:color="auto"/>
                            <w:bottom w:val="single" w:sz="6" w:space="0" w:color="auto"/>
                            <w:right w:val="single" w:sz="2" w:space="0" w:color="auto"/>
                          </w:divBdr>
                          <w:divsChild>
                            <w:div w:id="19727844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165203">
                                  <w:marLeft w:val="0"/>
                                  <w:marRight w:val="0"/>
                                  <w:marTop w:val="0"/>
                                  <w:marBottom w:val="0"/>
                                  <w:divBdr>
                                    <w:top w:val="single" w:sz="2" w:space="0" w:color="D9D9E3"/>
                                    <w:left w:val="single" w:sz="2" w:space="0" w:color="D9D9E3"/>
                                    <w:bottom w:val="single" w:sz="2" w:space="0" w:color="D9D9E3"/>
                                    <w:right w:val="single" w:sz="2" w:space="0" w:color="D9D9E3"/>
                                  </w:divBdr>
                                  <w:divsChild>
                                    <w:div w:id="1459911287">
                                      <w:marLeft w:val="0"/>
                                      <w:marRight w:val="0"/>
                                      <w:marTop w:val="0"/>
                                      <w:marBottom w:val="0"/>
                                      <w:divBdr>
                                        <w:top w:val="single" w:sz="2" w:space="0" w:color="D9D9E3"/>
                                        <w:left w:val="single" w:sz="2" w:space="0" w:color="D9D9E3"/>
                                        <w:bottom w:val="single" w:sz="2" w:space="0" w:color="D9D9E3"/>
                                        <w:right w:val="single" w:sz="2" w:space="0" w:color="D9D9E3"/>
                                      </w:divBdr>
                                      <w:divsChild>
                                        <w:div w:id="1307737619">
                                          <w:marLeft w:val="0"/>
                                          <w:marRight w:val="0"/>
                                          <w:marTop w:val="0"/>
                                          <w:marBottom w:val="0"/>
                                          <w:divBdr>
                                            <w:top w:val="single" w:sz="2" w:space="0" w:color="D9D9E3"/>
                                            <w:left w:val="single" w:sz="2" w:space="0" w:color="D9D9E3"/>
                                            <w:bottom w:val="single" w:sz="2" w:space="0" w:color="D9D9E3"/>
                                            <w:right w:val="single" w:sz="2" w:space="0" w:color="D9D9E3"/>
                                          </w:divBdr>
                                          <w:divsChild>
                                            <w:div w:id="290406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69313770">
          <w:marLeft w:val="0"/>
          <w:marRight w:val="0"/>
          <w:marTop w:val="0"/>
          <w:marBottom w:val="0"/>
          <w:divBdr>
            <w:top w:val="none" w:sz="0" w:space="0" w:color="auto"/>
            <w:left w:val="none" w:sz="0" w:space="0" w:color="auto"/>
            <w:bottom w:val="none" w:sz="0" w:space="0" w:color="auto"/>
            <w:right w:val="none" w:sz="0" w:space="0" w:color="auto"/>
          </w:divBdr>
        </w:div>
      </w:divsChild>
    </w:div>
    <w:div w:id="1237591366">
      <w:bodyDiv w:val="1"/>
      <w:marLeft w:val="0"/>
      <w:marRight w:val="0"/>
      <w:marTop w:val="0"/>
      <w:marBottom w:val="0"/>
      <w:divBdr>
        <w:top w:val="none" w:sz="0" w:space="0" w:color="auto"/>
        <w:left w:val="none" w:sz="0" w:space="0" w:color="auto"/>
        <w:bottom w:val="none" w:sz="0" w:space="0" w:color="auto"/>
        <w:right w:val="none" w:sz="0" w:space="0" w:color="auto"/>
      </w:divBdr>
      <w:divsChild>
        <w:div w:id="565192246">
          <w:marLeft w:val="0"/>
          <w:marRight w:val="0"/>
          <w:marTop w:val="0"/>
          <w:marBottom w:val="0"/>
          <w:divBdr>
            <w:top w:val="single" w:sz="2" w:space="0" w:color="D9D9E3"/>
            <w:left w:val="single" w:sz="2" w:space="0" w:color="D9D9E3"/>
            <w:bottom w:val="single" w:sz="2" w:space="0" w:color="D9D9E3"/>
            <w:right w:val="single" w:sz="2" w:space="0" w:color="D9D9E3"/>
          </w:divBdr>
          <w:divsChild>
            <w:div w:id="494607323">
              <w:marLeft w:val="0"/>
              <w:marRight w:val="0"/>
              <w:marTop w:val="0"/>
              <w:marBottom w:val="0"/>
              <w:divBdr>
                <w:top w:val="single" w:sz="2" w:space="0" w:color="D9D9E3"/>
                <w:left w:val="single" w:sz="2" w:space="0" w:color="D9D9E3"/>
                <w:bottom w:val="single" w:sz="2" w:space="0" w:color="D9D9E3"/>
                <w:right w:val="single" w:sz="2" w:space="0" w:color="D9D9E3"/>
              </w:divBdr>
              <w:divsChild>
                <w:div w:id="11421688">
                  <w:marLeft w:val="0"/>
                  <w:marRight w:val="0"/>
                  <w:marTop w:val="0"/>
                  <w:marBottom w:val="0"/>
                  <w:divBdr>
                    <w:top w:val="single" w:sz="2" w:space="0" w:color="D9D9E3"/>
                    <w:left w:val="single" w:sz="2" w:space="0" w:color="D9D9E3"/>
                    <w:bottom w:val="single" w:sz="2" w:space="0" w:color="D9D9E3"/>
                    <w:right w:val="single" w:sz="2" w:space="0" w:color="D9D9E3"/>
                  </w:divBdr>
                  <w:divsChild>
                    <w:div w:id="954213208">
                      <w:marLeft w:val="0"/>
                      <w:marRight w:val="0"/>
                      <w:marTop w:val="0"/>
                      <w:marBottom w:val="0"/>
                      <w:divBdr>
                        <w:top w:val="single" w:sz="2" w:space="0" w:color="D9D9E3"/>
                        <w:left w:val="single" w:sz="2" w:space="0" w:color="D9D9E3"/>
                        <w:bottom w:val="single" w:sz="2" w:space="0" w:color="D9D9E3"/>
                        <w:right w:val="single" w:sz="2" w:space="0" w:color="D9D9E3"/>
                      </w:divBdr>
                      <w:divsChild>
                        <w:div w:id="1740706892">
                          <w:marLeft w:val="0"/>
                          <w:marRight w:val="0"/>
                          <w:marTop w:val="0"/>
                          <w:marBottom w:val="0"/>
                          <w:divBdr>
                            <w:top w:val="single" w:sz="2" w:space="0" w:color="auto"/>
                            <w:left w:val="single" w:sz="2" w:space="0" w:color="auto"/>
                            <w:bottom w:val="single" w:sz="6" w:space="0" w:color="auto"/>
                            <w:right w:val="single" w:sz="2" w:space="0" w:color="auto"/>
                          </w:divBdr>
                          <w:divsChild>
                            <w:div w:id="115645852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986300">
                                  <w:marLeft w:val="0"/>
                                  <w:marRight w:val="0"/>
                                  <w:marTop w:val="0"/>
                                  <w:marBottom w:val="0"/>
                                  <w:divBdr>
                                    <w:top w:val="single" w:sz="2" w:space="0" w:color="D9D9E3"/>
                                    <w:left w:val="single" w:sz="2" w:space="0" w:color="D9D9E3"/>
                                    <w:bottom w:val="single" w:sz="2" w:space="0" w:color="D9D9E3"/>
                                    <w:right w:val="single" w:sz="2" w:space="0" w:color="D9D9E3"/>
                                  </w:divBdr>
                                  <w:divsChild>
                                    <w:div w:id="482351373">
                                      <w:marLeft w:val="0"/>
                                      <w:marRight w:val="0"/>
                                      <w:marTop w:val="0"/>
                                      <w:marBottom w:val="0"/>
                                      <w:divBdr>
                                        <w:top w:val="single" w:sz="2" w:space="0" w:color="D9D9E3"/>
                                        <w:left w:val="single" w:sz="2" w:space="0" w:color="D9D9E3"/>
                                        <w:bottom w:val="single" w:sz="2" w:space="0" w:color="D9D9E3"/>
                                        <w:right w:val="single" w:sz="2" w:space="0" w:color="D9D9E3"/>
                                      </w:divBdr>
                                      <w:divsChild>
                                        <w:div w:id="1214124674">
                                          <w:marLeft w:val="0"/>
                                          <w:marRight w:val="0"/>
                                          <w:marTop w:val="0"/>
                                          <w:marBottom w:val="0"/>
                                          <w:divBdr>
                                            <w:top w:val="single" w:sz="2" w:space="0" w:color="D9D9E3"/>
                                            <w:left w:val="single" w:sz="2" w:space="0" w:color="D9D9E3"/>
                                            <w:bottom w:val="single" w:sz="2" w:space="0" w:color="D9D9E3"/>
                                            <w:right w:val="single" w:sz="2" w:space="0" w:color="D9D9E3"/>
                                          </w:divBdr>
                                          <w:divsChild>
                                            <w:div w:id="648755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58039327">
          <w:marLeft w:val="0"/>
          <w:marRight w:val="0"/>
          <w:marTop w:val="0"/>
          <w:marBottom w:val="0"/>
          <w:divBdr>
            <w:top w:val="none" w:sz="0" w:space="0" w:color="auto"/>
            <w:left w:val="none" w:sz="0" w:space="0" w:color="auto"/>
            <w:bottom w:val="none" w:sz="0" w:space="0" w:color="auto"/>
            <w:right w:val="none" w:sz="0" w:space="0" w:color="auto"/>
          </w:divBdr>
          <w:divsChild>
            <w:div w:id="1818372990">
              <w:marLeft w:val="0"/>
              <w:marRight w:val="0"/>
              <w:marTop w:val="0"/>
              <w:marBottom w:val="0"/>
              <w:divBdr>
                <w:top w:val="single" w:sz="2" w:space="0" w:color="D9D9E3"/>
                <w:left w:val="single" w:sz="2" w:space="0" w:color="D9D9E3"/>
                <w:bottom w:val="single" w:sz="2" w:space="0" w:color="D9D9E3"/>
                <w:right w:val="single" w:sz="2" w:space="0" w:color="D9D9E3"/>
              </w:divBdr>
              <w:divsChild>
                <w:div w:id="1680355444">
                  <w:marLeft w:val="0"/>
                  <w:marRight w:val="0"/>
                  <w:marTop w:val="0"/>
                  <w:marBottom w:val="0"/>
                  <w:divBdr>
                    <w:top w:val="single" w:sz="2" w:space="0" w:color="D9D9E3"/>
                    <w:left w:val="single" w:sz="2" w:space="0" w:color="D9D9E3"/>
                    <w:bottom w:val="single" w:sz="2" w:space="0" w:color="D9D9E3"/>
                    <w:right w:val="single" w:sz="2" w:space="0" w:color="D9D9E3"/>
                  </w:divBdr>
                  <w:divsChild>
                    <w:div w:id="2044790490">
                      <w:marLeft w:val="0"/>
                      <w:marRight w:val="0"/>
                      <w:marTop w:val="0"/>
                      <w:marBottom w:val="0"/>
                      <w:divBdr>
                        <w:top w:val="single" w:sz="2" w:space="0" w:color="D9D9E3"/>
                        <w:left w:val="single" w:sz="2" w:space="0" w:color="D9D9E3"/>
                        <w:bottom w:val="single" w:sz="2" w:space="0" w:color="D9D9E3"/>
                        <w:right w:val="single" w:sz="2" w:space="0" w:color="D9D9E3"/>
                      </w:divBdr>
                      <w:divsChild>
                        <w:div w:id="3630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17075813">
      <w:bodyDiv w:val="1"/>
      <w:marLeft w:val="0"/>
      <w:marRight w:val="0"/>
      <w:marTop w:val="0"/>
      <w:marBottom w:val="0"/>
      <w:divBdr>
        <w:top w:val="none" w:sz="0" w:space="0" w:color="auto"/>
        <w:left w:val="none" w:sz="0" w:space="0" w:color="auto"/>
        <w:bottom w:val="none" w:sz="0" w:space="0" w:color="auto"/>
        <w:right w:val="none" w:sz="0" w:space="0" w:color="auto"/>
      </w:divBdr>
    </w:div>
    <w:div w:id="207107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doi.org/10.1057/imfer.2011.8" TargetMode="External"/><Relationship Id="rId1" Type="http://schemas.openxmlformats.org/officeDocument/2006/relationships/hyperlink" Target="https://doi.org/10.1016/j.jfs.2017.06.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C640A-C42E-4149-9508-9309E4187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4</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Kamal</dc:creator>
  <cp:keywords/>
  <dc:description/>
  <cp:lastModifiedBy>Mostafa Kamal</cp:lastModifiedBy>
  <cp:revision>5</cp:revision>
  <dcterms:created xsi:type="dcterms:W3CDTF">2023-05-21T18:57:00Z</dcterms:created>
  <dcterms:modified xsi:type="dcterms:W3CDTF">2023-05-21T21:26:00Z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