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UNIVERSIDAD PRIVADA ANTENOR ORREGO</w:t>
      </w:r>
    </w:p>
    <w:p>
      <w:pPr>
        <w:jc w:val="center"/>
      </w:pPr>
      <w:r>
        <w:rPr>
          <w:b/>
          <w:sz w:val="24"/>
        </w:rPr>
        <w:t>Facultad de Ingeniería</w:t>
      </w:r>
    </w:p>
    <w:p>
      <w:pPr>
        <w:jc w:val="center"/>
      </w:pPr>
      <w:r>
        <w:rPr>
          <w:b/>
          <w:sz w:val="22"/>
        </w:rPr>
        <w:t>Escuela Profesional de Ingeniería de Computación y Sistemas</w:t>
      </w:r>
    </w:p>
    <w:p/>
    <w:p/>
    <w:p>
      <w:pPr>
        <w:jc w:val="center"/>
      </w:pPr>
      <w:r>
        <w:rPr>
          <w:b/>
          <w:color w:val="1F3564"/>
          <w:sz w:val="36"/>
        </w:rPr>
        <w:t>INFORME DE PRUEBAS FUNCIONALES</w:t>
      </w:r>
    </w:p>
    <w:p>
      <w:pPr>
        <w:jc w:val="center"/>
      </w:pPr>
      <w:r>
        <w:rPr>
          <w:b w:val="0"/>
          <w:i/>
        </w:rPr>
        <w:t>Validación de Requisitos Funcionales, Reglas de Negocio y Criterios de Aceptación</w:t>
      </w:r>
    </w:p>
    <w:p/>
    <w:p/>
    <w:p>
      <w:pPr>
        <w:jc w:val="center"/>
      </w:pPr>
      <w:r>
        <w:rPr>
          <w:b/>
          <w:sz w:val="26"/>
        </w:rPr>
        <w:t>Plataforma de Trazabilidad Académica con Agentes de IA Generativa</w:t>
        <w:br/>
        <w:t>para Gestión de Proyectos Universitarios de Software</w:t>
      </w:r>
    </w:p>
    <w:p/>
    <w:p/>
    <w:p>
      <w:pPr>
        <w:jc w:val="center"/>
      </w:pPr>
      <w:r>
        <w:rPr>
          <w:b/>
          <w:i w:val="0"/>
          <w:sz w:val="22"/>
        </w:rPr>
        <w:t xml:space="preserve">Autor:      </w:t>
      </w:r>
      <w:r>
        <w:rPr>
          <w:b w:val="0"/>
          <w:i w:val="0"/>
          <w:sz w:val="22"/>
        </w:rPr>
        <w:t>Jean Marcos Meneses Simon</w:t>
      </w:r>
    </w:p>
    <w:p>
      <w:pPr>
        <w:jc w:val="center"/>
      </w:pPr>
      <w:r>
        <w:rPr>
          <w:b/>
          <w:i w:val="0"/>
          <w:sz w:val="22"/>
        </w:rPr>
        <w:t xml:space="preserve">Asesor:     </w:t>
      </w:r>
      <w:r>
        <w:rPr>
          <w:b w:val="0"/>
          <w:i w:val="0"/>
          <w:sz w:val="22"/>
        </w:rPr>
        <w:t>Ing. Walter Cueva</w:t>
      </w:r>
    </w:p>
    <w:p>
      <w:pPr>
        <w:jc w:val="center"/>
      </w:pPr>
      <w:r>
        <w:rPr>
          <w:b/>
          <w:i w:val="0"/>
          <w:sz w:val="22"/>
        </w:rPr>
        <w:t xml:space="preserve">Fecha:      </w:t>
      </w:r>
      <w:r>
        <w:rPr>
          <w:b w:val="0"/>
          <w:i w:val="0"/>
          <w:sz w:val="22"/>
        </w:rPr>
        <w:t>24 de julio de 2026</w:t>
      </w:r>
    </w:p>
    <w:p>
      <w:pPr>
        <w:jc w:val="center"/>
      </w:pPr>
      <w:r>
        <w:rPr>
          <w:b/>
          <w:i w:val="0"/>
          <w:sz w:val="22"/>
        </w:rPr>
        <w:t>Repositorio:</w:t>
      </w:r>
      <w:r>
        <w:rPr>
          <w:b w:val="0"/>
          <w:i w:val="0"/>
          <w:sz w:val="22"/>
        </w:rPr>
        <w:t>https://github.com/Jmmsimon/trazabilidad-taller-I</w:t>
      </w:r>
    </w:p>
    <w:p>
      <w:r>
        <w:br w:type="page"/>
      </w:r>
    </w:p>
    <w:p>
      <w:pPr>
        <w:pStyle w:val="Heading1"/>
      </w:pPr>
      <w:r>
        <w:t>1. Objetivo</w:t>
      </w:r>
    </w:p>
    <w:p>
      <w:pPr>
        <w:jc w:val="left"/>
      </w:pPr>
      <w:r>
        <w:rPr>
          <w:b w:val="0"/>
          <w:i w:val="0"/>
        </w:rPr>
        <w:t>Verificar que la Plataforma de Trazabilidad Académica cumpla al 100% con los Requisitos Funcionales (RF-01 a RF-10) y las reglas de negocio especificadas en el Proyecto Integrador. Se valida que cada flujo de trabajo (autenticación, gestión de proyectos, importación CSV de backlog, auditoría con agentes IA y panel de administración) opere correctamente conforme a sus Criterios de Aceptación (Dado-Cuando-Entonces).</w:t>
      </w:r>
    </w:p>
    <w:p>
      <w:pPr>
        <w:pStyle w:val="Heading1"/>
      </w:pPr>
      <w:r>
        <w:t>2. Matriz de Cobertura de Requisitos Funcionales (RF)</w:t>
      </w:r>
    </w:p>
    <w:p>
      <w:pPr>
        <w:jc w:val="left"/>
      </w:pPr>
      <w:r>
        <w:rPr>
          <w:b/>
          <w:i w:val="0"/>
        </w:rPr>
        <w:t>Tabla 1. Mapeo de Requisitos Funcionales vs. Pruebas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417"/>
            <w:vAlign w:val="center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Código RF</w:t>
            </w:r>
          </w:p>
        </w:tc>
        <w:tc>
          <w:tcPr>
            <w:tcW w:type="dxa" w:w="3685"/>
            <w:vAlign w:val="center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Requisito Funcional</w:t>
            </w:r>
          </w:p>
        </w:tc>
        <w:tc>
          <w:tcPr>
            <w:tcW w:type="dxa" w:w="1984"/>
            <w:vAlign w:val="center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Casos de Prueba Asociados</w:t>
            </w:r>
          </w:p>
        </w:tc>
        <w:tc>
          <w:tcPr>
            <w:tcW w:type="dxa" w:w="1701"/>
            <w:vAlign w:val="center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 Cobertura</w:t>
            </w:r>
          </w:p>
        </w:tc>
      </w:tr>
      <w:tr>
        <w:tc>
          <w:tcPr>
            <w:tcW w:type="dxa" w:w="141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RF-01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Autenticación de Usuarios por Correo y Google OAuth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PF-01, PF-02</w:t>
            </w:r>
          </w:p>
        </w:tc>
        <w:tc>
          <w:tcPr>
            <w:tcW w:type="dxa" w:w="1701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C23"/>
                <w:sz w:val="17"/>
              </w:rPr>
              <w:t>CUBIERTO (100%)</w:t>
            </w:r>
          </w:p>
        </w:tc>
      </w:tr>
      <w:tr>
        <w:tc>
          <w:tcPr>
            <w:tcW w:type="dxa" w:w="141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RF-02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Control de Acceso Basado en Roles (RBAC)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PF-03, PF-13</w:t>
            </w:r>
          </w:p>
        </w:tc>
        <w:tc>
          <w:tcPr>
            <w:tcW w:type="dxa" w:w="1701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C23"/>
                <w:sz w:val="17"/>
              </w:rPr>
              <w:t>CUBIERTO (100%)</w:t>
            </w:r>
          </w:p>
        </w:tc>
      </w:tr>
      <w:tr>
        <w:tc>
          <w:tcPr>
            <w:tcW w:type="dxa" w:w="141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RF-03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Pre-registro de Usuarios por el Administrador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PF-04, PF-05</w:t>
            </w:r>
          </w:p>
        </w:tc>
        <w:tc>
          <w:tcPr>
            <w:tcW w:type="dxa" w:w="1701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C23"/>
                <w:sz w:val="17"/>
              </w:rPr>
              <w:t>CUBIERTO (100%)</w:t>
            </w:r>
          </w:p>
        </w:tc>
      </w:tr>
      <w:tr>
        <w:tc>
          <w:tcPr>
            <w:tcW w:type="dxa" w:w="141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RF-04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Configuración y Vinculación de Repositorio GitHub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PF-06</w:t>
            </w:r>
          </w:p>
        </w:tc>
        <w:tc>
          <w:tcPr>
            <w:tcW w:type="dxa" w:w="1701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C23"/>
                <w:sz w:val="17"/>
              </w:rPr>
              <w:t>CUBIERTO (100%)</w:t>
            </w:r>
          </w:p>
        </w:tc>
      </w:tr>
      <w:tr>
        <w:tc>
          <w:tcPr>
            <w:tcW w:type="dxa" w:w="141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RF-05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Importación y Parseo de Backlog CSV de Historias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PF-07, PF-08</w:t>
            </w:r>
          </w:p>
        </w:tc>
        <w:tc>
          <w:tcPr>
            <w:tcW w:type="dxa" w:w="1701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C23"/>
                <w:sz w:val="17"/>
              </w:rPr>
              <w:t>CUBIERTO (100%)</w:t>
            </w:r>
          </w:p>
        </w:tc>
      </w:tr>
      <w:tr>
        <w:tc>
          <w:tcPr>
            <w:tcW w:type="dxa" w:w="141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RF-06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Auditoría Automatizada de Trazabilidad (LangGraph)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PF-09</w:t>
            </w:r>
          </w:p>
        </w:tc>
        <w:tc>
          <w:tcPr>
            <w:tcW w:type="dxa" w:w="1701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C23"/>
                <w:sz w:val="17"/>
              </w:rPr>
              <w:t>CUBIERTO (100%)</w:t>
            </w:r>
          </w:p>
        </w:tc>
      </w:tr>
      <w:tr>
        <w:tc>
          <w:tcPr>
            <w:tcW w:type="dxa" w:w="141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RF-07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Cálculo Dinámico del Semáforo de Auditoría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PF-10</w:t>
            </w:r>
          </w:p>
        </w:tc>
        <w:tc>
          <w:tcPr>
            <w:tcW w:type="dxa" w:w="1701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C23"/>
                <w:sz w:val="17"/>
              </w:rPr>
              <w:t>CUBIERTO (100%)</w:t>
            </w:r>
          </w:p>
        </w:tc>
      </w:tr>
      <w:tr>
        <w:tc>
          <w:tcPr>
            <w:tcW w:type="dxa" w:w="141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RF-08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Detección de Commits Masivos y Penalización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PF-11</w:t>
            </w:r>
          </w:p>
        </w:tc>
        <w:tc>
          <w:tcPr>
            <w:tcW w:type="dxa" w:w="1701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C23"/>
                <w:sz w:val="17"/>
              </w:rPr>
              <w:t>CUBIERTO (100%)</w:t>
            </w:r>
          </w:p>
        </w:tc>
      </w:tr>
      <w:tr>
        <w:tc>
          <w:tcPr>
            <w:tcW w:type="dxa" w:w="141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RF-09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Modo Auditoría Solo-Lectura para Docentes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PF-12</w:t>
            </w:r>
          </w:p>
        </w:tc>
        <w:tc>
          <w:tcPr>
            <w:tcW w:type="dxa" w:w="1701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C23"/>
                <w:sz w:val="17"/>
              </w:rPr>
              <w:t>CUBIERTO (100%)</w:t>
            </w:r>
          </w:p>
        </w:tc>
      </w:tr>
      <w:tr>
        <w:tc>
          <w:tcPr>
            <w:tcW w:type="dxa" w:w="141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RF-10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Gestión Global de Usuarios por Administrador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PF-14, PF-15</w:t>
            </w:r>
          </w:p>
        </w:tc>
        <w:tc>
          <w:tcPr>
            <w:tcW w:type="dxa" w:w="1701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C23"/>
                <w:sz w:val="17"/>
              </w:rPr>
              <w:t>CUBIERTO (100%)</w:t>
            </w:r>
          </w:p>
        </w:tc>
      </w:tr>
    </w:tbl>
    <w:p/>
    <w:p>
      <w:pPr>
        <w:pStyle w:val="Heading1"/>
      </w:pPr>
      <w:r>
        <w:t>3. Metodología y Criterios de Aceptación</w:t>
      </w:r>
    </w:p>
    <w:p>
      <w:pPr>
        <w:jc w:val="left"/>
      </w:pPr>
      <w:r>
        <w:rPr>
          <w:b w:val="0"/>
          <w:i w:val="0"/>
        </w:rPr>
        <w:t>Las pruebas funcionales se especificaron utilizando el formato estándar de Historias de Usuario con Criterios de Aceptación Gherkin:</w:t>
      </w:r>
    </w:p>
    <w:p>
      <w:pPr>
        <w:pStyle w:val="ListBullet"/>
        <w:ind w:left="432"/>
      </w:pPr>
      <w:r>
        <w:rPr>
          <w:b/>
        </w:rPr>
        <w:t xml:space="preserve">• </w:t>
      </w:r>
      <w:r>
        <w:t>Dado que (Given): Establece las precondiciones iniciales del sistema.</w:t>
      </w:r>
    </w:p>
    <w:p>
      <w:pPr>
        <w:pStyle w:val="ListBullet"/>
        <w:ind w:left="432"/>
      </w:pPr>
      <w:r>
        <w:rPr>
          <w:b/>
        </w:rPr>
        <w:t xml:space="preserve">• </w:t>
      </w:r>
      <w:r>
        <w:t>Cuando (When): Define la acción o evento desencadenante realizado por el usuario.</w:t>
      </w:r>
    </w:p>
    <w:p>
      <w:pPr>
        <w:pStyle w:val="ListBullet"/>
        <w:ind w:left="432"/>
      </w:pPr>
      <w:r>
        <w:rPr>
          <w:b/>
        </w:rPr>
        <w:t xml:space="preserve">• </w:t>
      </w:r>
      <w:r>
        <w:t>Entonces (Then): Especifica la respuesta esperada del sistema y el cambio de estado.</w:t>
      </w:r>
    </w:p>
    <w:p>
      <w:r>
        <w:br w:type="page"/>
      </w:r>
    </w:p>
    <w:p>
      <w:pPr>
        <w:pStyle w:val="Heading1"/>
      </w:pPr>
      <w:r>
        <w:t>4. Especificación y Resultados de los Casos de Prueba Funcionales (PF-01 a PF-15)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850"/>
            <w:vAlign w:val="center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84"/>
            <w:vAlign w:val="center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Funcionalidad Evaluada</w:t>
            </w:r>
          </w:p>
        </w:tc>
        <w:tc>
          <w:tcPr>
            <w:tcW w:type="dxa" w:w="3118"/>
            <w:vAlign w:val="center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Aceptación (Gherkin)</w:t>
            </w:r>
          </w:p>
        </w:tc>
        <w:tc>
          <w:tcPr>
            <w:tcW w:type="dxa" w:w="1984"/>
            <w:vAlign w:val="center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Obtenido</w:t>
            </w:r>
          </w:p>
        </w:tc>
        <w:tc>
          <w:tcPr>
            <w:tcW w:type="dxa" w:w="850"/>
            <w:vAlign w:val="center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85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PF-01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Login de Estudiante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Dado credenciales válidas, cuando presiona Iniciar Sesión, entonces redirige al Dashboard de Estudiante.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Redirección correcta a /dashboard/estudiante</w:t>
            </w:r>
          </w:p>
        </w:tc>
        <w:tc>
          <w:tcPr>
            <w:tcW w:type="dxa" w:w="850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C23"/>
                <w:sz w:val="17"/>
              </w:rPr>
              <w:t>PASE</w:t>
            </w:r>
          </w:p>
        </w:tc>
      </w:tr>
      <w:tr>
        <w:tc>
          <w:tcPr>
            <w:tcW w:type="dxa" w:w="85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PF-02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Login con Google OAuth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Dado el botón Google, cuando se autentica con correo institucional, entonces inicia sesión correctamente.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Sesión iniciada con Google OAuth</w:t>
            </w:r>
          </w:p>
        </w:tc>
        <w:tc>
          <w:tcPr>
            <w:tcW w:type="dxa" w:w="850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C23"/>
                <w:sz w:val="17"/>
              </w:rPr>
              <w:t>PASE</w:t>
            </w:r>
          </w:p>
        </w:tc>
      </w:tr>
      <w:tr>
        <w:tc>
          <w:tcPr>
            <w:tcW w:type="dxa" w:w="85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PF-03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Control de Roles RBAC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Dado un estudiante en portal docente, cuando intenta acceder, entonces cierra sesión y muestra alerta.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Sesión cerrada; alerta de rol mostrada</w:t>
            </w:r>
          </w:p>
        </w:tc>
        <w:tc>
          <w:tcPr>
            <w:tcW w:type="dxa" w:w="850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C23"/>
                <w:sz w:val="17"/>
              </w:rPr>
              <w:t>PASE</w:t>
            </w:r>
          </w:p>
        </w:tc>
      </w:tr>
      <w:tr>
        <w:tc>
          <w:tcPr>
            <w:tcW w:type="dxa" w:w="85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PF-04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Pre-registro Admin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Dado el modal Admin, cuando selecciona Acceso Google, entonces oculta campo clave y registra usuario.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Usuario registrado en modo Google</w:t>
            </w:r>
          </w:p>
        </w:tc>
        <w:tc>
          <w:tcPr>
            <w:tcW w:type="dxa" w:w="850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C23"/>
                <w:sz w:val="17"/>
              </w:rPr>
              <w:t>PASE</w:t>
            </w:r>
          </w:p>
        </w:tc>
      </w:tr>
      <w:tr>
        <w:tc>
          <w:tcPr>
            <w:tcW w:type="dxa" w:w="85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PF-05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Validación de Nombre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Dado el campo Nombre, cuando ingresa números o símbolos, entonces muestra error inline sin bloquear tecleo.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Mensaje inline en rojo mostrado correctamente</w:t>
            </w:r>
          </w:p>
        </w:tc>
        <w:tc>
          <w:tcPr>
            <w:tcW w:type="dxa" w:w="850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C23"/>
                <w:sz w:val="17"/>
              </w:rPr>
              <w:t>PASE</w:t>
            </w:r>
          </w:p>
        </w:tc>
      </w:tr>
      <w:tr>
        <w:tc>
          <w:tcPr>
            <w:tcW w:type="dxa" w:w="85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PF-06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Configuración Repo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Dado un proyecto, cuando ingresa repo_url válida, entonces guarda en Firestore con HTTP 200.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URL guardada correctamente en Firestore</w:t>
            </w:r>
          </w:p>
        </w:tc>
        <w:tc>
          <w:tcPr>
            <w:tcW w:type="dxa" w:w="850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C23"/>
                <w:sz w:val="17"/>
              </w:rPr>
              <w:t>PASE</w:t>
            </w:r>
          </w:p>
        </w:tc>
      </w:tr>
      <w:tr>
        <w:tc>
          <w:tcPr>
            <w:tcW w:type="dxa" w:w="85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PF-07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Parseo de CSV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Dado un CSV con separador coma o ;, cuando se sube, entonces normaliza ítems a BacklogAuditItem.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Ítems parseados y normalizados</w:t>
            </w:r>
          </w:p>
        </w:tc>
        <w:tc>
          <w:tcPr>
            <w:tcW w:type="dxa" w:w="850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C23"/>
                <w:sz w:val="17"/>
              </w:rPr>
              <w:t>PASE</w:t>
            </w:r>
          </w:p>
        </w:tc>
      </w:tr>
      <w:tr>
        <w:tc>
          <w:tcPr>
            <w:tcW w:type="dxa" w:w="85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PF-08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Normalización Estados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Dado estados en español ('Hecho', 'Por hacer'), cuando parsea, entonces convierte a 'Done', 'To Do'.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Estados normalizados estándar</w:t>
            </w:r>
          </w:p>
        </w:tc>
        <w:tc>
          <w:tcPr>
            <w:tcW w:type="dxa" w:w="850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C23"/>
                <w:sz w:val="17"/>
              </w:rPr>
              <w:t>PASE</w:t>
            </w:r>
          </w:p>
        </w:tc>
      </w:tr>
      <w:tr>
        <w:tc>
          <w:tcPr>
            <w:tcW w:type="dxa" w:w="85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PF-09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Agente Tracking IA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Dado backlog y commits, cuando se ejecuta auditoría, entonces compara referencias de HU en git logs.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Agente LangGraph genera informe trazable</w:t>
            </w:r>
          </w:p>
        </w:tc>
        <w:tc>
          <w:tcPr>
            <w:tcW w:type="dxa" w:w="850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C23"/>
                <w:sz w:val="17"/>
              </w:rPr>
              <w:t>PASE</w:t>
            </w:r>
          </w:p>
        </w:tc>
      </w:tr>
      <w:tr>
        <w:tc>
          <w:tcPr>
            <w:tcW w:type="dxa" w:w="85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PF-10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Semáforo Dinámico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Dado % de trazabilidad, cuando se calcula, entonces asigna Verde (81-100), Amarillo, Naranja o Rojo.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Color asignado según rangos definidos</w:t>
            </w:r>
          </w:p>
        </w:tc>
        <w:tc>
          <w:tcPr>
            <w:tcW w:type="dxa" w:w="850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C23"/>
                <w:sz w:val="17"/>
              </w:rPr>
              <w:t>PASE</w:t>
            </w:r>
          </w:p>
        </w:tc>
      </w:tr>
      <w:tr>
        <w:tc>
          <w:tcPr>
            <w:tcW w:type="dxa" w:w="85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PF-11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Detector Bulk-Commit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Dado commit masivo a última hora, cuando audita, entonces aplica penalización de -15 puntos.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Penalización -15 pts aplicada correctamente</w:t>
            </w:r>
          </w:p>
        </w:tc>
        <w:tc>
          <w:tcPr>
            <w:tcW w:type="dxa" w:w="850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C23"/>
                <w:sz w:val="17"/>
              </w:rPr>
              <w:t>PASE</w:t>
            </w:r>
          </w:p>
        </w:tc>
      </w:tr>
      <w:tr>
        <w:tc>
          <w:tcPr>
            <w:tcW w:type="dxa" w:w="85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PF-12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Auditoría Solo-Lectura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Dado un docente evaluando, cuando consulta reporte, entonces el Kanban del alumno queda intacto.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tablero Kanban de estudiante 100% intacto</w:t>
            </w:r>
          </w:p>
        </w:tc>
        <w:tc>
          <w:tcPr>
            <w:tcW w:type="dxa" w:w="850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C23"/>
                <w:sz w:val="17"/>
              </w:rPr>
              <w:t>PASE</w:t>
            </w:r>
          </w:p>
        </w:tc>
      </w:tr>
      <w:tr>
        <w:tc>
          <w:tcPr>
            <w:tcW w:type="dxa" w:w="85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PF-13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Protección Endpoints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Dado endpoint protegido, cuando consulta sin token, entonces backend retorna HTTP 401/403.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Respuesta 401/403 devuelta correctamente</w:t>
            </w:r>
          </w:p>
        </w:tc>
        <w:tc>
          <w:tcPr>
            <w:tcW w:type="dxa" w:w="850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C23"/>
                <w:sz w:val="17"/>
              </w:rPr>
              <w:t>PASE</w:t>
            </w:r>
          </w:p>
        </w:tc>
      </w:tr>
      <w:tr>
        <w:tc>
          <w:tcPr>
            <w:tcW w:type="dxa" w:w="85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PF-14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Deshabilitar Cuenta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Dado el panel Admin, cuando deshabilita un usuario, entonces bloquea su acceso al sistema.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Cuenta deshabilitada en Firestore</w:t>
            </w:r>
          </w:p>
        </w:tc>
        <w:tc>
          <w:tcPr>
            <w:tcW w:type="dxa" w:w="850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C23"/>
                <w:sz w:val="17"/>
              </w:rPr>
              <w:t>PASE</w:t>
            </w:r>
          </w:p>
        </w:tc>
      </w:tr>
      <w:tr>
        <w:tc>
          <w:tcPr>
            <w:tcW w:type="dxa" w:w="85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PF-15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Eliminación Usuario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Dado el panel Admin, cuando confirma eliminar, entonces remueve usuario en Firebase y Firestore.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Usuario eliminado permanentemente</w:t>
            </w:r>
          </w:p>
        </w:tc>
        <w:tc>
          <w:tcPr>
            <w:tcW w:type="dxa" w:w="850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C23"/>
                <w:sz w:val="17"/>
              </w:rPr>
              <w:t>PASE</w:t>
            </w:r>
          </w:p>
        </w:tc>
      </w:tr>
    </w:tbl>
    <w:p/>
    <w:p>
      <w:r>
        <w:br w:type="page"/>
      </w:r>
    </w:p>
    <w:p>
      <w:pPr>
        <w:pStyle w:val="Heading1"/>
      </w:pPr>
      <w:r>
        <w:t>5. Evidencias Gráficas de las Pruebas Funcionales</w:t>
      </w:r>
    </w:p>
    <w:p>
      <w:pPr>
        <w:jc w:val="left"/>
      </w:pPr>
      <w:r>
        <w:rPr>
          <w:b w:val="0"/>
          <w:i w:val="0"/>
        </w:rPr>
        <w:t>A continuación se adjuntan las evidencias gráficas obtenidas de la ejecución de los casos de prueba funcionales en la interfaz del sistema: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72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pf01_login_estudian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9"/>
        </w:rPr>
        <w:t>Figura 1: Verificación de Autenticación de Estudiante (RF-01: Correo + OAuth)</w:t>
        <w:br/>
        <w:t>Fuente: Plataforma de Trazabilidad Académica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723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pf04_preregistro_adm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9"/>
        </w:rPr>
        <w:t>Figura 2: Pre-registro de Usuarios Admin con Selector de Modo y Errores Inline (RF-03)</w:t>
        <w:br/>
        <w:t>Fuente: Plataforma de Trazabilidad Académica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723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pf06_config_rep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9"/>
        </w:rPr>
        <w:t>Figura 3: Vinculación y Guardado de Repositorio GitHub en Firestore (RF-04)</w:t>
        <w:br/>
        <w:t>Fuente: Plataforma de Trazabilidad Académica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723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pf07_parseo_cs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9"/>
        </w:rPr>
        <w:t>Figura 4: Importación de Backlog CSV y Normalización Automática de Estados (RF-05)</w:t>
        <w:br/>
        <w:t>Fuente: Plataforma de Trazabilidad Académica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723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pf09_agente_track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9"/>
        </w:rPr>
        <w:t>Figura 5: Auditoría IA con LangGraph, Semáforo Dinámico y Penalización Bulk-Commit (RF-06, RF-07, RF-08)</w:t>
        <w:br/>
        <w:t>Fuente: Plataforma de Trazabilidad Académica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723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pf12_solo_lectur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9"/>
        </w:rPr>
        <w:t>Figura 6: Auditoría Docente en Modo Consulta Solo-Lectura (RF-09: Kanban Intacto)</w:t>
        <w:br/>
        <w:t>Fuente: Plataforma de Trazabilidad Académica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723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pf14_admin_gestion_usuari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9"/>
        </w:rPr>
        <w:t>Figura 7: Panel de Administración Global de Usuarios (RF-10: Habilitación/Eliminación)</w:t>
        <w:br/>
        <w:t>Fuente: Plataforma de Trazabilidad Académica</w:t>
      </w:r>
    </w:p>
    <w:p>
      <w:r>
        <w:br w:type="page"/>
      </w:r>
    </w:p>
    <w:p>
      <w:pPr>
        <w:pStyle w:val="Heading1"/>
      </w:pPr>
      <w:r>
        <w:t>6. Resumen Consolidado y Conclusiones</w:t>
      </w:r>
    </w:p>
    <w:p>
      <w:pPr>
        <w:jc w:val="left"/>
      </w:pPr>
      <w:r>
        <w:rPr>
          <w:b/>
          <w:i w:val="0"/>
        </w:rPr>
        <w:t>Resumen de Evaluación Funcional:</w:t>
      </w:r>
    </w:p>
    <w:p>
      <w:pPr>
        <w:pStyle w:val="ListBullet"/>
        <w:ind w:left="432"/>
      </w:pPr>
      <w:r>
        <w:t>Requisitos Funcionales Evaluados: 10/10 (100% de Cobertura).</w:t>
      </w:r>
    </w:p>
    <w:p>
      <w:pPr>
        <w:pStyle w:val="ListBullet"/>
        <w:ind w:left="432"/>
      </w:pPr>
      <w:r>
        <w:t>Casos de Prueba Funcionales Ejecutados: 15/15.</w:t>
      </w:r>
    </w:p>
    <w:p>
      <w:pPr>
        <w:pStyle w:val="ListBullet"/>
        <w:ind w:left="432"/>
      </w:pPr>
      <w:r>
        <w:t>Casos Aprobados (PASE): 15 (100.00%).</w:t>
      </w:r>
    </w:p>
    <w:p>
      <w:pPr>
        <w:pStyle w:val="ListBullet"/>
        <w:ind w:left="432"/>
      </w:pPr>
      <w:r>
        <w:t>Casos Fallidos (FAIL): 0 (0.00%).</w:t>
      </w:r>
    </w:p>
    <w:p/>
    <w:p>
      <w:pPr>
        <w:pStyle w:val="Heading2"/>
      </w:pPr>
      <w:r>
        <w:t>Conclusión Final de Funcionalidad</w:t>
      </w:r>
    </w:p>
    <w:p>
      <w:pPr>
        <w:jc w:val="left"/>
      </w:pPr>
      <w:r>
        <w:rPr>
          <w:b w:val="0"/>
          <w:i w:val="0"/>
        </w:rPr>
        <w:t>La evaluación funcional de la Plataforma de Trazabilidad Académica confirma que todas las características especificadas en los Requisitos Funcionales (RF-01 a RF-10) cumplen estrictamente con los Criterios de Aceptación. La integración entre el frontend Next.js, el backend FastAPI, Firebase Authentication y los agentes de IA en LangGraph funciona de manera integrada, declarándose CONFORME para su presentación.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