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10" w:rsidRDefault="00492510" w:rsidP="0056277B">
      <w:pPr>
        <w:pStyle w:val="Heading1"/>
      </w:pPr>
      <w:r>
        <w:t>Tableau de bord</w:t>
      </w:r>
    </w:p>
    <w:p w:rsidR="00492510" w:rsidRDefault="00492510"/>
    <w:tbl>
      <w:tblPr>
        <w:tblStyle w:val="TableGrid"/>
        <w:tblW w:w="0" w:type="auto"/>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450"/>
        <w:gridCol w:w="3435"/>
        <w:gridCol w:w="3815"/>
      </w:tblGrid>
      <w:tr w:rsidR="00B27E2D" w:rsidTr="0056277B">
        <w:trPr>
          <w:jc w:val="center"/>
        </w:trPr>
        <w:tc>
          <w:tcPr>
            <w:tcW w:w="3020" w:type="dxa"/>
            <w:vAlign w:val="center"/>
          </w:tcPr>
          <w:p w:rsidR="00820FAE" w:rsidRPr="0056277B" w:rsidRDefault="00820FAE" w:rsidP="00820FAE">
            <w:pPr>
              <w:jc w:val="center"/>
              <w:rPr>
                <w:sz w:val="30"/>
                <w:szCs w:val="30"/>
              </w:rPr>
            </w:pPr>
            <w:r w:rsidRPr="0056277B">
              <w:rPr>
                <w:b/>
                <w:sz w:val="30"/>
                <w:szCs w:val="30"/>
              </w:rPr>
              <w:t>Turnover</w:t>
            </w:r>
            <w:r w:rsidR="0056277B">
              <w:rPr>
                <w:sz w:val="30"/>
                <w:szCs w:val="30"/>
              </w:rPr>
              <w:br/>
            </w:r>
            <w:r w:rsidR="0056277B">
              <w:rPr>
                <w:b/>
                <w:sz w:val="30"/>
                <w:szCs w:val="30"/>
              </w:rPr>
              <w:t>16.1</w:t>
            </w:r>
            <w:r w:rsidRPr="0056277B">
              <w:rPr>
                <w:b/>
                <w:sz w:val="30"/>
                <w:szCs w:val="30"/>
              </w:rPr>
              <w:t>%</w:t>
            </w:r>
          </w:p>
        </w:tc>
        <w:tc>
          <w:tcPr>
            <w:tcW w:w="3021" w:type="dxa"/>
            <w:vAlign w:val="center"/>
          </w:tcPr>
          <w:p w:rsidR="00492510" w:rsidRDefault="00EE1595">
            <w:r>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pt;height:109.5pt">
                  <v:imagedata r:id="rId7" o:title="KPI_1"/>
                </v:shape>
              </w:pict>
            </w:r>
          </w:p>
        </w:tc>
        <w:tc>
          <w:tcPr>
            <w:tcW w:w="3021" w:type="dxa"/>
            <w:vAlign w:val="center"/>
          </w:tcPr>
          <w:p w:rsidR="00492510" w:rsidRDefault="00EE1595" w:rsidP="00820FAE">
            <w:pPr>
              <w:jc w:val="center"/>
            </w:pPr>
            <w:r>
              <w:rPr>
                <w:noProof/>
                <w:lang w:eastAsia="fr-CH"/>
              </w:rPr>
              <w:pict>
                <v:shape id="_x0000_i1026" type="#_x0000_t75" style="width:170.2pt;height:110.75pt">
                  <v:imagedata r:id="rId8" o:title="KPI_3"/>
                </v:shape>
              </w:pict>
            </w:r>
          </w:p>
        </w:tc>
      </w:tr>
      <w:tr w:rsidR="00B27E2D" w:rsidTr="0056277B">
        <w:trPr>
          <w:jc w:val="center"/>
        </w:trPr>
        <w:tc>
          <w:tcPr>
            <w:tcW w:w="3020" w:type="dxa"/>
            <w:vAlign w:val="center"/>
          </w:tcPr>
          <w:p w:rsidR="00492510" w:rsidRDefault="00EE1595" w:rsidP="00820FAE">
            <w:r>
              <w:rPr>
                <w:noProof/>
                <w:lang w:eastAsia="fr-CH"/>
              </w:rPr>
              <w:pict>
                <v:shape id="_x0000_i1027" type="#_x0000_t75" style="width:114.55pt;height:118.55pt">
                  <v:imagedata r:id="rId9" o:title="KPI_2"/>
                </v:shape>
              </w:pict>
            </w:r>
          </w:p>
        </w:tc>
        <w:tc>
          <w:tcPr>
            <w:tcW w:w="3021" w:type="dxa"/>
            <w:vAlign w:val="center"/>
          </w:tcPr>
          <w:p w:rsidR="00492510" w:rsidRDefault="00820FAE">
            <w:r>
              <w:rPr>
                <w:noProof/>
                <w:lang w:eastAsia="fr-CH"/>
              </w:rPr>
              <w:drawing>
                <wp:inline distT="0" distB="0" distL="0" distR="0">
                  <wp:extent cx="2094140" cy="1654629"/>
                  <wp:effectExtent l="0" t="0" r="1905" b="3175"/>
                  <wp:docPr id="4" name="Picture 4" descr="C:\Users\Julien\AppData\Local\Microsoft\Windows\INetCache\Content.Word\KPI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ulien\AppData\Local\Microsoft\Windows\INetCache\Content.Word\KPI_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4370" cy="1662712"/>
                          </a:xfrm>
                          <a:prstGeom prst="rect">
                            <a:avLst/>
                          </a:prstGeom>
                          <a:noFill/>
                          <a:ln>
                            <a:noFill/>
                          </a:ln>
                        </pic:spPr>
                      </pic:pic>
                    </a:graphicData>
                  </a:graphic>
                </wp:inline>
              </w:drawing>
            </w:r>
          </w:p>
        </w:tc>
        <w:tc>
          <w:tcPr>
            <w:tcW w:w="3021" w:type="dxa"/>
            <w:vAlign w:val="center"/>
          </w:tcPr>
          <w:p w:rsidR="00492510" w:rsidRDefault="00820FAE">
            <w:r>
              <w:rPr>
                <w:noProof/>
                <w:lang w:eastAsia="fr-CH"/>
              </w:rPr>
              <w:drawing>
                <wp:inline distT="0" distB="0" distL="0" distR="0" wp14:anchorId="2AE07360" wp14:editId="7FB6E97C">
                  <wp:extent cx="2342093" cy="1398814"/>
                  <wp:effectExtent l="0" t="0" r="1270" b="0"/>
                  <wp:docPr id="5" name="Picture 5" descr="C:\Users\Julien\AppData\Local\Microsoft\Windows\INetCache\Content.Word\KPI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ulien\AppData\Local\Microsoft\Windows\INetCache\Content.Word\KPI_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7619" cy="1402114"/>
                          </a:xfrm>
                          <a:prstGeom prst="rect">
                            <a:avLst/>
                          </a:prstGeom>
                          <a:noFill/>
                          <a:ln>
                            <a:noFill/>
                          </a:ln>
                        </pic:spPr>
                      </pic:pic>
                    </a:graphicData>
                  </a:graphic>
                </wp:inline>
              </w:drawing>
            </w:r>
          </w:p>
        </w:tc>
      </w:tr>
    </w:tbl>
    <w:p w:rsidR="00492510" w:rsidRDefault="00492510"/>
    <w:p w:rsidR="00820FAE" w:rsidRDefault="0056277B" w:rsidP="0056277B">
      <w:pPr>
        <w:pStyle w:val="Heading1"/>
      </w:pPr>
      <w:r>
        <w:t>Turnover</w:t>
      </w:r>
    </w:p>
    <w:p w:rsidR="0056277B" w:rsidRDefault="005449C7">
      <w:r>
        <w:t xml:space="preserve">Le turnover (ou rotation de l'emploi) se calcule généralement comme la moyenne arithmétique du nombre de départs (OUT) et du nombre d'arrivées (IN) sur une période donnée, rapportée à l'effectif initial de salariés N en début de période, </w:t>
      </w:r>
      <w:proofErr w:type="gramStart"/>
      <w:r>
        <w:t>soit</w:t>
      </w:r>
      <w:r>
        <w:t xml:space="preserve"> </w:t>
      </w:r>
      <w:proofErr w:type="gramEnd"/>
      <m:oMath>
        <m:r>
          <w:rPr>
            <w:rFonts w:ascii="Cambria Math" w:hAnsi="Cambria Math"/>
          </w:rPr>
          <m:t>T=</m:t>
        </m:r>
        <m:r>
          <w:rPr>
            <w:rFonts w:ascii="Cambria Math" w:hAnsi="Cambria Math"/>
          </w:rPr>
          <m:t>(O</m:t>
        </m:r>
        <m:r>
          <w:rPr>
            <w:rFonts w:ascii="Cambria Math" w:hAnsi="Cambria Math"/>
          </w:rPr>
          <m:t>UT+IN</m:t>
        </m:r>
        <m:r>
          <w:rPr>
            <w:rFonts w:ascii="Cambria Math" w:hAnsi="Cambria Math"/>
          </w:rPr>
          <m:t>) / 2N</m:t>
        </m:r>
      </m:oMath>
      <w:r w:rsidR="0056277B">
        <w:t xml:space="preserve">. </w:t>
      </w:r>
      <w:r>
        <w:t xml:space="preserve">Étant donné que le nombre d'arrivées pendant cette période n'est pas disponible, nous avons approximé le turnover </w:t>
      </w:r>
      <w:proofErr w:type="gramStart"/>
      <w:r>
        <w:t>par</w:t>
      </w:r>
      <w:r w:rsidR="00EE066A">
        <w:t xml:space="preserve"> </w:t>
      </w:r>
      <w:proofErr w:type="gramEnd"/>
      <m:oMath>
        <m:acc>
          <m:accPr>
            <m:ctrlPr>
              <w:rPr>
                <w:rFonts w:ascii="Cambria Math" w:hAnsi="Cambria Math"/>
                <w:i/>
              </w:rPr>
            </m:ctrlPr>
          </m:accPr>
          <m:e>
            <m:r>
              <w:rPr>
                <w:rFonts w:ascii="Cambria Math" w:hAnsi="Cambria Math"/>
              </w:rPr>
              <m:t>T</m:t>
            </m:r>
          </m:e>
        </m:acc>
        <m:r>
          <w:rPr>
            <w:rFonts w:ascii="Cambria Math" w:hAnsi="Cambria Math"/>
          </w:rPr>
          <m:t>=</m:t>
        </m:r>
        <m:r>
          <w:rPr>
            <w:rFonts w:ascii="Cambria Math" w:hAnsi="Cambria Math"/>
          </w:rPr>
          <m:t>OUT / N</m:t>
        </m:r>
      </m:oMath>
      <w:r w:rsidR="00EE066A">
        <w:rPr>
          <w:rFonts w:eastAsiaTheme="minorEastAsia"/>
        </w:rPr>
        <w:t>.</w:t>
      </w:r>
    </w:p>
    <w:p w:rsidR="00047B34" w:rsidRDefault="0022227B" w:rsidP="00B27E2D">
      <w:pPr>
        <w:pStyle w:val="Heading1"/>
      </w:pPr>
      <w:r>
        <w:t>Nombre moyen d’années dans l’entreprise en fonction du rôle</w:t>
      </w:r>
    </w:p>
    <w:p w:rsidR="004A7C2C" w:rsidRDefault="00047B34" w:rsidP="00047B34">
      <w:r w:rsidRPr="00047B34">
        <w:t>Ce graphique montre que les managers ont en moyenne 14 ans d'expérience chez IBM, tandis que le directeur de la recherche en a 11. Les responsables de la santé cumulent un peu plus de 8 ans d'expérience, tandis que les responsables des ventes et le directeur de la fabrication en comptent légèrement moins de 8. Les chercheurs, les techniciens de laboratoire et les employés des ressources humaines affichent une moyenne de 5 ans d'expérience. Enfin, les représentants de vente ont l'ancienneté la plus faible, avec environ 3 ans chez IBM. La dispersion la plus élevée des années d'expérience se trouve parmi les managers.</w:t>
      </w:r>
    </w:p>
    <w:p w:rsidR="003C16FB" w:rsidRDefault="003C16FB" w:rsidP="003C16FB">
      <w:pPr>
        <w:pStyle w:val="Heading1"/>
      </w:pPr>
      <w:r>
        <w:t xml:space="preserve">Attrition en fonction des années d’expérience </w:t>
      </w:r>
    </w:p>
    <w:p w:rsidR="003C16FB" w:rsidRDefault="003C16FB" w:rsidP="003C16FB">
      <w:r>
        <w:t>Ce graphique indique que le taux d'attrition reste relativement constant jusqu'à 10 ans d'expérience, puis chute brusquement au-delà, devenant insignifiant autour de 27 ans. La majorité des employés d'IBM dans cet ensemble de données ont entre 5 et 10 ans d'expérience.</w:t>
      </w:r>
    </w:p>
    <w:p w:rsidR="004A7C2C" w:rsidRDefault="004A7C2C" w:rsidP="004A7C2C">
      <w:pPr>
        <w:pStyle w:val="Heading1"/>
      </w:pPr>
      <w:r>
        <w:t>Répartition des employés par département</w:t>
      </w:r>
    </w:p>
    <w:p w:rsidR="00BE6CD9" w:rsidRDefault="00BE6CD9" w:rsidP="00BE6CD9">
      <w:r w:rsidRPr="00BE6CD9">
        <w:t>Le graphique en camembert illustre la répartition des effectifs par département au sein de l'entreprise. Pour une entreprise technologique comme IBM, il est crucial d'avoir la majorité de ses employés en R&amp;D afin de développer des produits innovants, une part significative dans les ventes pour commercialiser ces produits, et une proportion minimale dans les services administratifs (y compris les RH) afin de réduire les coûts non directement liés à la vente.</w:t>
      </w:r>
    </w:p>
    <w:p w:rsidR="003C16FB" w:rsidRDefault="00A57C3A" w:rsidP="00A57C3A">
      <w:pPr>
        <w:pStyle w:val="Heading1"/>
      </w:pPr>
      <w:r>
        <w:lastRenderedPageBreak/>
        <w:t>Distribution des genres en fonction du niveau hiérarchique</w:t>
      </w:r>
    </w:p>
    <w:p w:rsidR="003C16FB" w:rsidRDefault="003C16FB" w:rsidP="00BE6CD9">
      <w:pPr>
        <w:rPr>
          <w:b/>
        </w:rPr>
      </w:pPr>
      <w:r>
        <w:t>Le graphique de distribution des genres montre la répartition des hommes et des femmes à chaque niveau hiérarchique de l’entreprise.</w:t>
      </w:r>
      <w:r>
        <w:t xml:space="preserve"> </w:t>
      </w:r>
      <w:r>
        <w:t xml:space="preserve">Nous constatons une augmentation du nombre de femmes à mesure que l'on progresse dans la hiérarchie de l'entreprise, sauf au niveau </w:t>
      </w:r>
      <w:r>
        <w:t>supérieur (5)</w:t>
      </w:r>
      <w:r>
        <w:t>, où les hommes redeviennent majoritaires.</w:t>
      </w:r>
    </w:p>
    <w:p w:rsidR="0022227B" w:rsidRDefault="0022227B" w:rsidP="0022227B">
      <w:pPr>
        <w:pStyle w:val="Heading1"/>
      </w:pPr>
      <w:r>
        <w:t>Revenu moyen par rôle et département</w:t>
      </w:r>
    </w:p>
    <w:p w:rsidR="0022227B" w:rsidRDefault="0022227B">
      <w:r>
        <w:t xml:space="preserve">La </w:t>
      </w:r>
      <w:proofErr w:type="spellStart"/>
      <w:r w:rsidRPr="00AC45F7">
        <w:rPr>
          <w:i/>
        </w:rPr>
        <w:t>heatmap</w:t>
      </w:r>
      <w:proofErr w:type="spellEnd"/>
      <w:r>
        <w:t xml:space="preserve"> </w:t>
      </w:r>
      <w:bookmarkStart w:id="0" w:name="_GoBack"/>
      <w:bookmarkEnd w:id="0"/>
      <w:r>
        <w:t>illustre les niveaux de salaires les plus attractifs en fonction des départements et des postes occupés. Les valeurs représentent les moyennes des revenus pour chaque groupe</w:t>
      </w:r>
      <w:r w:rsidR="00CB08F8">
        <w:t xml:space="preserve"> normalisées par la moyenne des revenus de l’ensemble des employés</w:t>
      </w:r>
      <w:r>
        <w:t>.</w:t>
      </w:r>
    </w:p>
    <w:p w:rsidR="005449C7" w:rsidRDefault="005449C7"/>
    <w:p w:rsidR="005449C7" w:rsidRDefault="005449C7"/>
    <w:p w:rsidR="00820FAE" w:rsidRDefault="00820FAE"/>
    <w:p w:rsidR="00820FAE" w:rsidRDefault="00820FAE"/>
    <w:p w:rsidR="00820FAE" w:rsidRDefault="00820FAE"/>
    <w:sectPr w:rsidR="00820FAE" w:rsidSect="00820FAE">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02C" w:rsidRDefault="007B602C" w:rsidP="00492510">
      <w:pPr>
        <w:spacing w:after="0" w:line="240" w:lineRule="auto"/>
      </w:pPr>
      <w:r>
        <w:separator/>
      </w:r>
    </w:p>
  </w:endnote>
  <w:endnote w:type="continuationSeparator" w:id="0">
    <w:p w:rsidR="007B602C" w:rsidRDefault="007B602C" w:rsidP="0049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9C6" w:rsidRDefault="009E49C6" w:rsidP="009E49C6">
    <w:pPr>
      <w:pStyle w:val="Footer"/>
      <w:jc w:val="center"/>
    </w:pPr>
    <w:r>
      <w:t xml:space="preserve">- </w:t>
    </w:r>
    <w:sdt>
      <w:sdtPr>
        <w:id w:val="21127746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C45F7">
          <w:rPr>
            <w:noProof/>
          </w:rPr>
          <w:t>2</w:t>
        </w:r>
        <w:r>
          <w:rPr>
            <w:noProof/>
          </w:rPr>
          <w:fldChar w:fldCharType="end"/>
        </w:r>
        <w:r>
          <w:rPr>
            <w:noProof/>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02C" w:rsidRDefault="007B602C" w:rsidP="00492510">
      <w:pPr>
        <w:spacing w:after="0" w:line="240" w:lineRule="auto"/>
      </w:pPr>
      <w:r>
        <w:separator/>
      </w:r>
    </w:p>
  </w:footnote>
  <w:footnote w:type="continuationSeparator" w:id="0">
    <w:p w:rsidR="007B602C" w:rsidRDefault="007B602C" w:rsidP="0049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510" w:rsidRDefault="00492510" w:rsidP="00820FAE">
    <w:pPr>
      <w:pStyle w:val="Header"/>
      <w:pBdr>
        <w:bottom w:val="single" w:sz="4" w:space="1" w:color="auto"/>
      </w:pBdr>
      <w:tabs>
        <w:tab w:val="clear" w:pos="4536"/>
        <w:tab w:val="clear" w:pos="9072"/>
        <w:tab w:val="center" w:pos="4820"/>
        <w:tab w:val="right" w:pos="9746"/>
      </w:tabs>
    </w:pPr>
    <w:r>
      <w:t>BUI 2024 / Laboratoire 1</w:t>
    </w:r>
    <w:r>
      <w:tab/>
    </w:r>
    <w:r>
      <w:tab/>
      <w:t xml:space="preserve">Julien </w:t>
    </w:r>
    <w:proofErr w:type="spellStart"/>
    <w:r>
      <w:t>Mühlemann</w:t>
    </w:r>
    <w:proofErr w:type="spellEnd"/>
    <w:r>
      <w:t xml:space="preserve">, Dr. </w:t>
    </w:r>
    <w:proofErr w:type="spellStart"/>
    <w:r>
      <w:t>Ing</w:t>
    </w:r>
    <w:proofErr w:type="spellEnd"/>
    <w:r>
      <w:t xml:space="preserve">. Julien </w:t>
    </w:r>
    <w:proofErr w:type="spellStart"/>
    <w:r>
      <w:t>Billeter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10"/>
    <w:rsid w:val="00047B34"/>
    <w:rsid w:val="0022227B"/>
    <w:rsid w:val="002C01E2"/>
    <w:rsid w:val="003C16FB"/>
    <w:rsid w:val="00492510"/>
    <w:rsid w:val="004A7C2C"/>
    <w:rsid w:val="005449C7"/>
    <w:rsid w:val="0056277B"/>
    <w:rsid w:val="007B602C"/>
    <w:rsid w:val="00820FAE"/>
    <w:rsid w:val="009E49C6"/>
    <w:rsid w:val="00A57C3A"/>
    <w:rsid w:val="00AC45F7"/>
    <w:rsid w:val="00B27E2D"/>
    <w:rsid w:val="00BE6CD9"/>
    <w:rsid w:val="00CB08F8"/>
    <w:rsid w:val="00EE066A"/>
    <w:rsid w:val="00EE1595"/>
    <w:rsid w:val="00F40A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729C0A-9B18-4453-8325-7372B284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E2D"/>
    <w:pPr>
      <w:jc w:val="both"/>
    </w:pPr>
    <w:rPr>
      <w:rFonts w:asciiTheme="minorHAnsi" w:hAnsiTheme="minorHAnsi"/>
    </w:rPr>
  </w:style>
  <w:style w:type="paragraph" w:styleId="Heading1">
    <w:name w:val="heading 1"/>
    <w:basedOn w:val="Normal"/>
    <w:next w:val="Normal"/>
    <w:link w:val="Heading1Char"/>
    <w:uiPriority w:val="9"/>
    <w:qFormat/>
    <w:rsid w:val="0056277B"/>
    <w:pPr>
      <w:keepNext/>
      <w:keepLines/>
      <w:spacing w:before="240" w:after="0"/>
      <w:outlineLvl w:val="0"/>
    </w:pPr>
    <w:rPr>
      <w:rFonts w:asciiTheme="majorHAnsi" w:eastAsiaTheme="majorEastAsia" w:hAnsiTheme="majorHAnsi" w:cstheme="majorBidi"/>
      <w:b/>
      <w:sz w:val="26"/>
      <w:szCs w:val="32"/>
      <w:u w:val="single"/>
    </w:rPr>
  </w:style>
  <w:style w:type="paragraph" w:styleId="Heading2">
    <w:name w:val="heading 2"/>
    <w:basedOn w:val="Normal"/>
    <w:next w:val="Normal"/>
    <w:link w:val="Heading2Char"/>
    <w:uiPriority w:val="9"/>
    <w:unhideWhenUsed/>
    <w:qFormat/>
    <w:rsid w:val="0056277B"/>
    <w:pPr>
      <w:keepNext/>
      <w:keepLines/>
      <w:spacing w:before="40" w:after="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2510"/>
    <w:rPr>
      <w:rFonts w:asciiTheme="minorHAnsi" w:hAnsiTheme="minorHAnsi"/>
    </w:rPr>
  </w:style>
  <w:style w:type="paragraph" w:styleId="Footer">
    <w:name w:val="footer"/>
    <w:basedOn w:val="Normal"/>
    <w:link w:val="FooterChar"/>
    <w:uiPriority w:val="99"/>
    <w:unhideWhenUsed/>
    <w:rsid w:val="00492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2510"/>
    <w:rPr>
      <w:rFonts w:asciiTheme="minorHAnsi" w:hAnsiTheme="minorHAnsi"/>
    </w:rPr>
  </w:style>
  <w:style w:type="table" w:styleId="TableGrid">
    <w:name w:val="Table Grid"/>
    <w:basedOn w:val="TableNormal"/>
    <w:uiPriority w:val="39"/>
    <w:rsid w:val="0049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277B"/>
    <w:rPr>
      <w:rFonts w:asciiTheme="majorHAnsi" w:eastAsiaTheme="majorEastAsia" w:hAnsiTheme="majorHAnsi" w:cstheme="majorBidi"/>
      <w:b/>
      <w:sz w:val="26"/>
      <w:szCs w:val="32"/>
      <w:u w:val="single"/>
    </w:rPr>
  </w:style>
  <w:style w:type="character" w:customStyle="1" w:styleId="Heading2Char">
    <w:name w:val="Heading 2 Char"/>
    <w:basedOn w:val="DefaultParagraphFont"/>
    <w:link w:val="Heading2"/>
    <w:uiPriority w:val="9"/>
    <w:rsid w:val="0056277B"/>
    <w:rPr>
      <w:rFonts w:asciiTheme="majorHAnsi" w:eastAsiaTheme="majorEastAsia" w:hAnsiTheme="majorHAnsi" w:cstheme="majorBidi"/>
      <w:b/>
      <w:sz w:val="26"/>
      <w:szCs w:val="26"/>
      <w:u w:val="single"/>
    </w:rPr>
  </w:style>
  <w:style w:type="character" w:styleId="PlaceholderText">
    <w:name w:val="Placeholder Text"/>
    <w:basedOn w:val="DefaultParagraphFont"/>
    <w:uiPriority w:val="99"/>
    <w:semiHidden/>
    <w:rsid w:val="005627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D4"/>
    <w:rsid w:val="00AA76D4"/>
    <w:rsid w:val="00B703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6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1999-9261-4E01-874E-1EAB4547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405</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2024-10-02T12:56:00Z</dcterms:created>
  <dcterms:modified xsi:type="dcterms:W3CDTF">2024-10-02T14:11:00Z</dcterms:modified>
</cp:coreProperties>
</file>