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SPRINT REVIEW REPORT GROUP 05</w:t>
      </w:r>
    </w:p>
    <w:p>
      <w:pPr>
        <w:jc w:val="center"/>
      </w:pPr>
      <w:r>
        <w:rPr>
          <w:b/>
          <w:sz w:val="28"/>
        </w:rPr>
        <w:t>Sprint 7: Final Delivery</w:t>
      </w:r>
    </w:p>
    <w:p>
      <w:pPr>
        <w:jc w:val="center"/>
      </w:pPr>
      <w:r>
        <w:t>Boot-Tracker: Lead Management and Payment System</w:t>
      </w:r>
    </w:p>
    <w:p>
      <w:pPr>
        <w:jc w:val="center"/>
      </w:pPr>
      <w:r>
        <w:t>Organization: Coding Bootcamps ESPOL</w:t>
      </w:r>
    </w:p>
    <w:p>
      <w:pPr>
        <w:jc w:val="center"/>
      </w:pPr>
      <w:r>
        <w:t>Project: Boot-Tracker Platform</w:t>
      </w:r>
    </w:p>
    <w:p>
      <w:pPr>
        <w:jc w:val="center"/>
      </w:pPr>
      <w:r>
        <w:t>Closing Date: August 14, 2026</w:t>
      </w:r>
    </w:p>
    <w:p>
      <w:pPr>
        <w:pStyle w:val="Heading2"/>
      </w:pPr>
      <w:r>
        <w:t>Sprint Summary</w:t>
      </w:r>
    </w:p>
    <w:p>
      <w:r>
        <w:t>Boot-Tracker is delivered complete: all seven sprints closed, all 32 user stories implemented, and the system live in production. This final report covers the technical scope closed since Sprint 6: final acceptance testing and validation against the HST catalog, the final iOS and Android mobile builds, the last UI polish items (transition animations on web and mobile), and 21 additional client-driven improvements delivered across analytics, lead management, payments, responsive design, data integrity, and a new WhatsApp integration for lead intake.</w:t>
      </w:r>
    </w:p>
    <w:p>
      <w:pPr>
        <w:pStyle w:val="Heading2"/>
      </w:pPr>
      <w:r>
        <w:t>User Stories Covered</w:t>
      </w:r>
    </w:p>
    <w:p>
      <w:pPr>
        <w:pStyle w:val="ListBullet"/>
      </w:pPr>
      <w:r>
        <w:t>HST-025: administrator-facing leads and analytics views, finalized with per-salesperson metrics and a salesperson-comparison view.</w:t>
      </w:r>
    </w:p>
    <w:p>
      <w:pPr>
        <w:pStyle w:val="ListBullet"/>
      </w:pPr>
      <w:r>
        <w:t>CR-004/CR-006/CR-009/CR-010/CR-011 family: incremental lead, payment, and analytics refinements requested by the client across Sprints 4-7, all delivered.</w:t>
      </w:r>
    </w:p>
    <w:p>
      <w:pPr>
        <w:pStyle w:val="Heading2"/>
      </w:pPr>
      <w:r>
        <w:t>Sprint Tasks (Linear)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D9D9"/>
          </w:tcPr>
          <w:p>
            <w:r>
              <w:rPr>
                <w:b/>
              </w:rPr>
              <w:t>Issue</w:t>
            </w:r>
          </w:p>
        </w:tc>
        <w:tc>
          <w:tcPr>
            <w:tcW w:type="dxa" w:w="2160"/>
            <w:shd w:fill="D9D9D9"/>
          </w:tcPr>
          <w:p>
            <w:r>
              <w:rPr>
                <w:b/>
              </w:rPr>
              <w:t>Description</w:t>
            </w:r>
          </w:p>
        </w:tc>
        <w:tc>
          <w:tcPr>
            <w:tcW w:type="dxa" w:w="2160"/>
            <w:shd w:fill="D9D9D9"/>
          </w:tcPr>
          <w:p>
            <w:r>
              <w:rPr>
                <w:b/>
              </w:rPr>
              <w:t>Assignee</w:t>
            </w:r>
          </w:p>
        </w:tc>
        <w:tc>
          <w:tcPr>
            <w:tcW w:type="dxa" w:w="2160"/>
            <w:shd w:fill="D9D9D9"/>
          </w:tcPr>
          <w:p>
            <w:r>
              <w:rPr>
                <w:b/>
              </w:rPr>
              <w:t>Status</w:t>
            </w:r>
          </w:p>
        </w:tc>
      </w:tr>
      <w:tr>
        <w:tc>
          <w:tcPr>
            <w:tcW w:type="dxa" w:w="2160"/>
          </w:tcPr>
          <w:p>
            <w:r>
              <w:t>CB-80</w:t>
            </w:r>
          </w:p>
        </w:tc>
        <w:tc>
          <w:tcPr>
            <w:tcW w:type="dxa" w:w="2160"/>
          </w:tcPr>
          <w:p>
            <w:r>
              <w:t>S7-3 - Final acceptance testing and HST validation report</w:t>
            </w:r>
          </w:p>
        </w:tc>
        <w:tc>
          <w:tcPr>
            <w:tcW w:type="dxa" w:w="2160"/>
          </w:tcPr>
          <w:p>
            <w:r>
              <w:t>Zahid Diaz</w:t>
            </w:r>
          </w:p>
        </w:tc>
        <w:tc>
          <w:tcPr>
            <w:tcW w:type="dxa" w:w="2160"/>
          </w:tcPr>
          <w:p>
            <w:r>
              <w:t>Done</w:t>
            </w:r>
          </w:p>
        </w:tc>
      </w:tr>
      <w:tr>
        <w:tc>
          <w:tcPr>
            <w:tcW w:type="dxa" w:w="2160"/>
          </w:tcPr>
          <w:p>
            <w:r>
              <w:t>CB-83</w:t>
            </w:r>
          </w:p>
        </w:tc>
        <w:tc>
          <w:tcPr>
            <w:tcW w:type="dxa" w:w="2160"/>
          </w:tcPr>
          <w:p>
            <w:r>
              <w:t>S7-6 - Final iOS + Android mobile builds for delivery</w:t>
            </w:r>
          </w:p>
        </w:tc>
        <w:tc>
          <w:tcPr>
            <w:tcW w:type="dxa" w:w="2160"/>
          </w:tcPr>
          <w:p>
            <w:r>
              <w:t>Isabella Martin</w:t>
            </w:r>
          </w:p>
        </w:tc>
        <w:tc>
          <w:tcPr>
            <w:tcW w:type="dxa" w:w="2160"/>
          </w:tcPr>
          <w:p>
            <w:r>
              <w:t>Done</w:t>
            </w:r>
          </w:p>
        </w:tc>
      </w:tr>
      <w:tr>
        <w:tc>
          <w:tcPr>
            <w:tcW w:type="dxa" w:w="2160"/>
          </w:tcPr>
          <w:p>
            <w:r>
              <w:t>CB-114</w:t>
            </w:r>
          </w:p>
        </w:tc>
        <w:tc>
          <w:tcPr>
            <w:tcW w:type="dxa" w:w="2160"/>
          </w:tcPr>
          <w:p>
            <w:r>
              <w:t>S6-7 - Frontend: transition animations and micro-interactions</w:t>
            </w:r>
          </w:p>
        </w:tc>
        <w:tc>
          <w:tcPr>
            <w:tcW w:type="dxa" w:w="2160"/>
          </w:tcPr>
          <w:p>
            <w:r>
              <w:t>Gabriela Jimenez</w:t>
            </w:r>
          </w:p>
        </w:tc>
        <w:tc>
          <w:tcPr>
            <w:tcW w:type="dxa" w:w="2160"/>
          </w:tcPr>
          <w:p>
            <w:r>
              <w:t>Done</w:t>
            </w:r>
          </w:p>
        </w:tc>
      </w:tr>
      <w:tr>
        <w:tc>
          <w:tcPr>
            <w:tcW w:type="dxa" w:w="2160"/>
          </w:tcPr>
          <w:p>
            <w:r>
              <w:t>CB-115</w:t>
            </w:r>
          </w:p>
        </w:tc>
        <w:tc>
          <w:tcPr>
            <w:tcW w:type="dxa" w:w="2160"/>
          </w:tcPr>
          <w:p>
            <w:r>
              <w:t>S6-8 - Mobile: navigation animations and screen transitions</w:t>
            </w:r>
          </w:p>
        </w:tc>
        <w:tc>
          <w:tcPr>
            <w:tcW w:type="dxa" w:w="2160"/>
          </w:tcPr>
          <w:p>
            <w:r>
              <w:t>Isabella Martin</w:t>
            </w:r>
          </w:p>
        </w:tc>
        <w:tc>
          <w:tcPr>
            <w:tcW w:type="dxa" w:w="2160"/>
          </w:tcPr>
          <w:p>
            <w:r>
              <w:t>Done</w:t>
            </w:r>
          </w:p>
        </w:tc>
      </w:tr>
    </w:tbl>
    <w:p>
      <w:pPr>
        <w:pStyle w:val="Heading2"/>
      </w:pPr>
      <w:r>
        <w:t>Additional Client-Driven Scope Delivered This Sprint</w:t>
      </w:r>
    </w:p>
    <w:p>
      <w:r>
        <w:t>Beyond the planned milestone scope, the following work was delivered in response to live client feedback and usability findings. Each item is a real, closed Linear issue; grouped here by theme for readability.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r>
              <w:rPr>
                <w:b/>
              </w:rPr>
              <w:t>Theme</w:t>
            </w:r>
          </w:p>
        </w:tc>
        <w:tc>
          <w:tcPr>
            <w:tcW w:type="dxa" w:w="2880"/>
            <w:shd w:fill="D9D9D9"/>
          </w:tcPr>
          <w:p>
            <w:r>
              <w:rPr>
                <w:b/>
              </w:rPr>
              <w:t>Description</w:t>
            </w:r>
          </w:p>
        </w:tc>
        <w:tc>
          <w:tcPr>
            <w:tcW w:type="dxa" w:w="2880"/>
            <w:shd w:fill="D9D9D9"/>
          </w:tcPr>
          <w:p>
            <w:r>
              <w:rPr>
                <w:b/>
              </w:rPr>
              <w:t>Status</w:t>
            </w:r>
          </w:p>
        </w:tc>
      </w:tr>
      <w:tr>
        <w:tc>
          <w:tcPr>
            <w:tcW w:type="dxa" w:w="2880"/>
          </w:tcPr>
          <w:p>
            <w:r>
              <w:t>Analytics expansion (3 issues)</w:t>
            </w:r>
          </w:p>
        </w:tc>
        <w:tc>
          <w:tcPr>
            <w:tcW w:type="dxa" w:w="2880"/>
          </w:tcPr>
          <w:p>
            <w:r>
              <w:t>Per-salesperson metrics filtered by date range (CB-198), salesperson-comparison tab (CB-194), program/cohort columns with filtering on the Users screen (CB-195).</w:t>
            </w:r>
          </w:p>
        </w:tc>
        <w:tc>
          <w:tcPr>
            <w:tcW w:type="dxa" w:w="2880"/>
          </w:tcPr>
          <w:p>
            <w:r>
              <w:t>Done</w:t>
            </w:r>
          </w:p>
        </w:tc>
      </w:tr>
      <w:tr>
        <w:tc>
          <w:tcPr>
            <w:tcW w:type="dxa" w:w="2880"/>
          </w:tcPr>
          <w:p>
            <w:r>
              <w:t>Lead lifecycle refinement (5 issues)</w:t>
            </w:r>
          </w:p>
        </w:tc>
        <w:tc>
          <w:tcPr>
            <w:tcW w:type="dxa" w:w="2880"/>
          </w:tcPr>
          <w:p>
            <w:r>
              <w:t>Terminal Discarded status with a mandatory reason (CB-191), each interaction now snapshots the lead's status at that moment (CB-192), assigned-since timestamp shown on the lead card (CB-190), bulk bootcamper distribution to Finance with select-all (CB-193), mandatory data-usage consent at bootcamper account creation (CB-196).</w:t>
            </w:r>
          </w:p>
        </w:tc>
        <w:tc>
          <w:tcPr>
            <w:tcW w:type="dxa" w:w="2880"/>
          </w:tcPr>
          <w:p>
            <w:r>
              <w:t>Done</w:t>
            </w:r>
          </w:p>
        </w:tc>
      </w:tr>
      <w:tr>
        <w:tc>
          <w:tcPr>
            <w:tcW w:type="dxa" w:w="2880"/>
          </w:tcPr>
          <w:p>
            <w:r>
              <w:t>Payments/notifications bug fixes (4 issues)</w:t>
            </w:r>
          </w:p>
        </w:tc>
        <w:tc>
          <w:tcPr>
            <w:tcW w:type="dxa" w:w="2880"/>
          </w:tcPr>
          <w:p>
            <w:r>
              <w:t>Finance can see the receipt image, not just OCR fields, when reviewing (CB-189), coordinator email now states its origin (CB-188), coordinator email linked to a reachable URL (CB-187), 500 error on receipt upload fixed (CB-186).</w:t>
            </w:r>
          </w:p>
        </w:tc>
        <w:tc>
          <w:tcPr>
            <w:tcW w:type="dxa" w:w="2880"/>
          </w:tcPr>
          <w:p>
            <w:r>
              <w:t>Done</w:t>
            </w:r>
          </w:p>
        </w:tc>
      </w:tr>
      <w:tr>
        <w:tc>
          <w:tcPr>
            <w:tcW w:type="dxa" w:w="2880"/>
          </w:tcPr>
          <w:p>
            <w:r>
              <w:t>Responsive / UX polish (3 issues)</w:t>
            </w:r>
          </w:p>
        </w:tc>
        <w:tc>
          <w:tcPr>
            <w:tcW w:type="dxa" w:w="2880"/>
          </w:tcPr>
          <w:p>
            <w:r>
              <w:t>Responsive receipt-upload and account-activation flow for the bootcamper (CB-199), responsive account activation, session-expiry and password-recovery screens (CB-203), scroll-bounce background fix (CB-204).</w:t>
            </w:r>
          </w:p>
        </w:tc>
        <w:tc>
          <w:tcPr>
            <w:tcW w:type="dxa" w:w="2880"/>
          </w:tcPr>
          <w:p>
            <w:r>
              <w:t>Done</w:t>
            </w:r>
          </w:p>
        </w:tc>
      </w:tr>
      <w:tr>
        <w:tc>
          <w:tcPr>
            <w:tcW w:type="dxa" w:w="2880"/>
          </w:tcPr>
          <w:p>
            <w:r>
              <w:t>Data-integrity hardening (3 issues)</w:t>
            </w:r>
          </w:p>
        </w:tc>
        <w:tc>
          <w:tcPr>
            <w:tcW w:type="dxa" w:w="2880"/>
          </w:tcPr>
          <w:p>
            <w:r>
              <w:t>Block lead creation with a staff member's email (CB-200), allow re-enrollment into a program already completed under a different cohort (CB-201), assign/change a bootcamper's cohort from the Users screen (CB-202).</w:t>
            </w:r>
          </w:p>
        </w:tc>
        <w:tc>
          <w:tcPr>
            <w:tcW w:type="dxa" w:w="2880"/>
          </w:tcPr>
          <w:p>
            <w:r>
              <w:t>Done</w:t>
            </w:r>
          </w:p>
        </w:tc>
      </w:tr>
      <w:tr>
        <w:tc>
          <w:tcPr>
            <w:tcW w:type="dxa" w:w="2880"/>
          </w:tcPr>
          <w:p>
            <w:r>
              <w:t>WhatsApp integration (3 issues)</w:t>
            </w:r>
          </w:p>
        </w:tc>
        <w:tc>
          <w:tcPr>
            <w:tcW w:type="dxa" w:w="2880"/>
          </w:tcPr>
          <w:p>
            <w:r>
              <w:t>Shared-secret authentication for the bot (CB-173), phone-number normalization to match leads to a WhatsApp identifier (CB-172), query/create/update lead endpoints for the bot (CB-174).</w:t>
            </w:r>
          </w:p>
        </w:tc>
        <w:tc>
          <w:tcPr>
            <w:tcW w:type="dxa" w:w="2880"/>
          </w:tcPr>
          <w:p>
            <w:r>
              <w:t>Done</w:t>
            </w:r>
          </w:p>
        </w:tc>
      </w:tr>
    </w:tbl>
    <w:p>
      <w:pPr>
        <w:pStyle w:val="Heading2"/>
      </w:pPr>
      <w:r>
        <w:t>Team</w:t>
      </w:r>
    </w:p>
    <w:tbl>
      <w:tblPr>
        <w:tblStyle w:val="TableGrid"/>
        <w:tblW w:type="auto" w:w="0"/>
        <w:jc w:val="center"/>
        <w:tblLook w:firstColumn="1" w:firstRow="1" w:lastColumn="0" w:lastRow="0" w:noHBand="0" w:noVBand="1" w:val="04A0"/>
      </w:tblPr>
      <w:tblGrid>
        <w:gridCol w:w="4320"/>
        <w:gridCol w:w="4320"/>
      </w:tblGrid>
      <w:tr>
        <w:tc>
          <w:tcPr>
            <w:tcW w:type="dxa" w:w="4320"/>
            <w:shd w:fill="D9D9D9"/>
          </w:tcPr>
          <w:p>
            <w:r>
              <w:rPr>
                <w:b/>
              </w:rPr>
              <w:t>Role</w:t>
            </w:r>
          </w:p>
        </w:tc>
        <w:tc>
          <w:tcPr>
            <w:tcW w:type="dxa" w:w="4320"/>
            <w:shd w:fill="D9D9D9"/>
          </w:tcPr>
          <w:p>
            <w:r>
              <w:rPr>
                <w:b/>
              </w:rPr>
              <w:t>Member</w:t>
            </w:r>
          </w:p>
        </w:tc>
      </w:tr>
      <w:tr>
        <w:tc>
          <w:tcPr>
            <w:tcW w:type="dxa" w:w="4320"/>
          </w:tcPr>
          <w:p>
            <w:r>
              <w:t>Scrum Master</w:t>
            </w:r>
          </w:p>
        </w:tc>
        <w:tc>
          <w:tcPr>
            <w:tcW w:type="dxa" w:w="4320"/>
          </w:tcPr>
          <w:p>
            <w:r>
              <w:t>Jose Chong (Jlchong3)</w:t>
            </w:r>
          </w:p>
        </w:tc>
      </w:tr>
      <w:tr>
        <w:tc>
          <w:tcPr>
            <w:tcW w:type="dxa" w:w="4320"/>
          </w:tcPr>
          <w:p>
            <w:r>
              <w:t>Backend</w:t>
            </w:r>
          </w:p>
        </w:tc>
        <w:tc>
          <w:tcPr>
            <w:tcW w:type="dxa" w:w="4320"/>
          </w:tcPr>
          <w:p>
            <w:r>
              <w:t>Juan Munizaga, Zahid Diaz, Jose Chong</w:t>
            </w:r>
          </w:p>
        </w:tc>
      </w:tr>
      <w:tr>
        <w:tc>
          <w:tcPr>
            <w:tcW w:type="dxa" w:w="4320"/>
          </w:tcPr>
          <w:p>
            <w:r>
              <w:t>Frontend</w:t>
            </w:r>
          </w:p>
        </w:tc>
        <w:tc>
          <w:tcPr>
            <w:tcW w:type="dxa" w:w="4320"/>
          </w:tcPr>
          <w:p>
            <w:r>
              <w:t>Gabriela Jimenez, Annabella Sanchez</w:t>
            </w:r>
          </w:p>
        </w:tc>
      </w:tr>
      <w:tr>
        <w:tc>
          <w:tcPr>
            <w:tcW w:type="dxa" w:w="4320"/>
          </w:tcPr>
          <w:p>
            <w:r>
              <w:t>Mobile</w:t>
            </w:r>
          </w:p>
        </w:tc>
        <w:tc>
          <w:tcPr>
            <w:tcW w:type="dxa" w:w="4320"/>
          </w:tcPr>
          <w:p>
            <w:r>
              <w:t>Isabella Martin</w:t>
            </w:r>
          </w:p>
        </w:tc>
      </w:tr>
    </w:tbl>
    <w:p>
      <w:pPr>
        <w:pStyle w:val="Heading2"/>
      </w:pPr>
      <w:r>
        <w:t>Key Decisions</w:t>
      </w:r>
    </w:p>
    <w:p>
      <w:pPr>
        <w:pStyle w:val="ListBullet"/>
      </w:pPr>
      <w:r>
        <w:t>All planned functionality across the seven sprints is complete and running in production at https://boottracker.taws.espol.edu.ec.</w:t>
      </w:r>
    </w:p>
    <w:p>
      <w:pPr>
        <w:pStyle w:val="ListBullet"/>
      </w:pPr>
      <w:r>
        <w:t>The mobile app build produced in Sprint 5 for the client demo was deliberately superseded by the final iOS/Android builds packaged at delivery, so the shipped build reflects the final feature set instead of being built twice.</w:t>
      </w:r>
    </w:p>
    <w:p>
      <w:pPr>
        <w:pStyle w:val="ListBullet"/>
      </w:pPr>
      <w:r>
        <w:t>The WhatsApp integration (shared-secret bot authentication, phone-number matching, and lead CRUD endpoints) was added as new scope during Sprint 7, extending lead intake beyond the original channels (manual, Instagram, landing page).</w:t>
      </w:r>
    </w:p>
    <w:p>
      <w:r>
        <w:t>________________________________________</w:t>
      </w:r>
    </w:p>
    <w:p>
      <w:r>
        <w:rPr>
          <w:b/>
        </w:rPr>
        <w:t>Customer Conformity and Acceptance</w:t>
      </w:r>
    </w:p>
    <w:p>
      <w:r>
        <w:t>PhD. Carmen Vaca</w:t>
      </w:r>
    </w:p>
    <w:p>
      <w:r>
        <w:t>Director of Coding Bootcamps ESPOL</w:t>
      </w:r>
    </w:p>
    <w:p>
      <w:r>
        <w:t>[ % PENDIENTE-FIRMA — se completa cuando la clienta firme la revision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