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KRA Tax Anomaly Dashboard Overview</w:t>
      </w:r>
    </w:p>
    <w:p>
      <w:r>
        <w:t>This dashboard helps reviewers understand tax anomalies, identify high-priority exceptions, and investigate mismatches across ETIMS, customs, and withholding data.</w:t>
      </w:r>
    </w:p>
    <w:p>
      <w:r>
        <w:rPr>
          <w:b/>
          <w:sz w:val="28"/>
        </w:rPr>
        <w:t>1. Purpose</w:t>
      </w:r>
    </w:p>
    <w:p>
      <w:r>
        <w:t>The dashboard is designed to support operational review by highlighting unusual tax records and making them easy to interpret at a glance.</w:t>
      </w:r>
    </w:p>
    <w:p>
      <w:r>
        <w:rPr>
          <w:b/>
          <w:sz w:val="28"/>
        </w:rPr>
        <w:t>2. Summary cards</w:t>
      </w:r>
    </w:p>
    <w:p>
      <w:r>
        <w:t>The top cards show total findings, matched records, duplicate invoices, and timing gaps so stakeholders can see the overall health of the review quickly.</w:t>
      </w:r>
    </w:p>
    <w:p>
      <w:r>
        <w:rPr>
          <w:b/>
          <w:sz w:val="28"/>
        </w:rPr>
        <w:t>3. Top risk items</w:t>
      </w:r>
    </w:p>
    <w:p>
      <w:r>
        <w:t>This section ranks the most urgent issues first so reviewers know what needs attention before anything else.</w:t>
      </w:r>
    </w:p>
    <w:p>
      <w:r>
        <w:rPr>
          <w:b/>
          <w:sz w:val="28"/>
        </w:rPr>
        <w:t>4. Executive summary</w:t>
      </w:r>
    </w:p>
    <w:p>
      <w:r>
        <w:t>This panel gives a short management-friendly overview of the current high-risk items and the key issue profile.</w:t>
      </w:r>
    </w:p>
    <w:p>
      <w:r>
        <w:rPr>
          <w:b/>
          <w:sz w:val="28"/>
        </w:rPr>
        <w:t>5. Reconciliation findings</w:t>
      </w:r>
    </w:p>
    <w:p>
      <w:r>
        <w:t>This is the detailed table that lists taxpayer-level mismatches between ETIMS and customs values, with a risk score and variance.</w:t>
      </w:r>
    </w:p>
    <w:p>
      <w:r>
        <w:rPr>
          <w:b/>
          <w:sz w:val="28"/>
        </w:rPr>
        <w:t>6. Duplicate invoice numbers</w:t>
      </w:r>
    </w:p>
    <w:p>
      <w:r>
        <w:t>This section highlights invoice numbers that appear more than once and shows which buyer taxpayers are involved.</w:t>
      </w:r>
    </w:p>
    <w:p>
      <w:r>
        <w:rPr>
          <w:b/>
          <w:sz w:val="28"/>
        </w:rPr>
        <w:t>7. Timing gaps</w:t>
      </w:r>
    </w:p>
    <w:p>
      <w:r>
        <w:t>This table shows unusually long gaps between invoice dates to flag process delays or irregular transaction patterns.</w:t>
      </w:r>
    </w:p>
    <w:p>
      <w:r>
        <w:rPr>
          <w:b/>
          <w:sz w:val="28"/>
        </w:rPr>
        <w:t>8. Detail panel</w:t>
      </w:r>
    </w:p>
    <w:p>
      <w:r>
        <w:t>When a row is selected, the dashboard expands into a detailed record view with the relevant taxpayer and transaction context.</w:t>
      </w:r>
    </w:p>
    <w:p>
      <w:r>
        <w:rPr>
          <w:b/>
          <w:sz w:val="28"/>
        </w:rPr>
        <w:t>9. Filters</w:t>
      </w:r>
    </w:p>
    <w:p>
      <w:r>
        <w:t>Users can switch between all records, anomalies only, or matched records to focus the review on the most relevant items.</w:t>
      </w:r>
    </w:p>
    <w:p>
      <w:r>
        <w:rPr>
          <w:b/>
          <w:sz w:val="28"/>
        </w:rPr>
        <w:t>10. Print report</w:t>
      </w:r>
    </w:p>
    <w:p>
      <w:r>
        <w:t>The print button supports sharing a quick report in meetings or for management documentation.</w:t>
      </w:r>
    </w:p>
    <w:p>
      <w:r>
        <w:rPr>
          <w:b/>
          <w:sz w:val="28"/>
        </w:rPr>
        <w:t>Overall view</w:t>
      </w:r>
    </w:p>
    <w:p>
      <w:r>
        <w:t>In short, the dashboard answers three questions: how much is affected, which issues are most critical, and which records need deeper investigation.</w:t>
      </w:r>
    </w:p>
    <w:p>
      <w:r>
        <w:rPr>
          <w:i/>
        </w:rPr>
        <w:t>This file documents the dashboard itself, how it works, and why it is useful for stakeholder review.</w:t>
      </w:r>
    </w:p>
    <w:sectPr w:rsidR="00FC693F" w:rsidRPr="0006063C" w:rsidSect="00034616">
      <w:footerReference w:type="default" r:id="rId9"/>
      <w:pgSz w:w="12240" w:h="15840"/>
      <w:pgMar w:top="1" w:right="1" w:bottom="1" w:left="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KRA Tax Anomaly Dashboard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