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28"/>
          <w:szCs w:val="28"/>
        </w:rPr>
        <w:t xml:space="preserve">Ideation Phase</w:t>
      </w:r>
    </w:p>
    <w:p>
      <w:pPr>
        <w:spacing w:after="300"/>
        <w:jc w:val="center"/>
      </w:pPr>
      <w:r>
        <w:rPr>
          <w:b/>
          <w:bCs/>
          <w:sz w:val="28"/>
          <w:szCs w:val="28"/>
        </w:rPr>
        <w:t xml:space="preserve">Empathy Map Canvas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vAlign w:val="center"/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Date</w:t>
            </w:r>
          </w:p>
        </w:tc>
        <w:tc>
          <w:tcPr>
            <w:tcW w:type="dxa" w:w="4513"/>
            <w:vAlign w:val="center"/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19 July 2026</w:t>
            </w:r>
          </w:p>
        </w:tc>
      </w:tr>
      <w:tr>
        <w:tc>
          <w:tcPr>
            <w:tcW w:type="dxa" w:w="4513"/>
            <w:vAlign w:val="center"/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Team ID</w:t>
            </w:r>
          </w:p>
        </w:tc>
        <w:tc>
          <w:tcPr>
            <w:tcW w:type="dxa" w:w="4513"/>
            <w:vAlign w:val="center"/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FinWise AI Team</w:t>
            </w:r>
          </w:p>
        </w:tc>
      </w:tr>
      <w:tr>
        <w:tc>
          <w:tcPr>
            <w:tcW w:type="dxa" w:w="4513"/>
            <w:vAlign w:val="center"/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Project Name</w:t>
            </w:r>
          </w:p>
        </w:tc>
        <w:tc>
          <w:tcPr>
            <w:tcW w:type="dxa" w:w="4513"/>
            <w:vAlign w:val="center"/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FinWise AI: Intelligent Loan Eligibility, Credit Analysis &amp; Financial Advisory Platform</w:t>
            </w:r>
          </w:p>
        </w:tc>
      </w:tr>
      <w:tr>
        <w:tc>
          <w:tcPr>
            <w:tcW w:type="dxa" w:w="4513"/>
            <w:vAlign w:val="center"/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Maximum Marks</w:t>
            </w:r>
          </w:p>
        </w:tc>
        <w:tc>
          <w:tcPr>
            <w:tcW w:type="dxa" w:w="4513"/>
            <w:vAlign w:val="center"/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2 Marks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b/>
          <w:bCs/>
        </w:rPr>
        <w:t xml:space="preserve">Empathy Map Canvas Template:</w:t>
      </w:r>
    </w:p>
    <w:p>
      <w:pPr>
        <w:spacing w:after="200"/>
      </w:pPr>
      <w:r>
        <w:t xml:space="preserve">An Empathy Map is a collaborative visualization used to articulate what a team knows about a particular user. It externalizes knowledge about the user in order to create a shared understanding, and to help teams identify blind spots in their current understanding of the customer.</w:t>
      </w:r>
    </w:p>
    <w:p>
      <w:pPr>
        <w:spacing w:after="200"/>
      </w:pPr>
      <w:r>
        <w:t xml:space="preserve">Building an empathy map helps the team step into the user's shoes and understand their environment, behavior, concerns, and aspirations — which in turn shapes a more user-centered solution.</w:t>
      </w:r>
    </w:p>
    <w:p>
      <w:pPr>
        <w:spacing w:after="300"/>
      </w:pPr>
      <w:r>
        <w:t xml:space="preserve">Reference: </w:t>
      </w:r>
      <w:hyperlink w:history="1" r:id="rIdr--ibzfl16-aunf1kzzr4">
        <w:r>
          <w:rPr>
            <w:rStyle w:val="Hyperlink"/>
          </w:rPr>
          <w:t xml:space="preserve">https://miro.com/templates/empathy-map/</w:t>
        </w:r>
      </w:hyperlink>
    </w:p>
    <w:p>
      <w:pPr>
        <w:spacing w:after="200"/>
      </w:pPr>
      <w:r>
        <w:rPr>
          <w:b/>
          <w:bCs/>
        </w:rPr>
        <w:t xml:space="preserve">User Persona: </w:t>
      </w:r>
      <w:r>
        <w:t xml:space="preserve">A working individual evaluating a personal loan or seeking to understand and improve their credit standing before approaching a bank.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vAlign w:val="center"/>
          </w:tcPr>
          <w:p>
            <w:r>
              <w:rPr>
                <w:b/>
                <w:bCs/>
                <w:sz w:val="24"/>
                <w:szCs w:val="24"/>
              </w:rPr>
              <w:t xml:space="preserve">SAYS</w:t>
            </w:r>
          </w:p>
        </w:tc>
        <w:tc>
          <w:tcPr>
            <w:tcW w:type="dxa" w:w="4513"/>
            <w:vAlign w:val="center"/>
          </w:tcPr>
          <w:p>
            <w:r>
              <w:rPr>
                <w:b/>
                <w:bCs/>
                <w:sz w:val="24"/>
                <w:szCs w:val="24"/>
              </w:rPr>
              <w:t xml:space="preserve">THINKS</w:t>
            </w:r>
          </w:p>
        </w:tc>
      </w:tr>
      <w:tr>
        <w:tc>
          <w:tcPr>
            <w:tcW w:type="dxa" w:w="4513"/>
            <w:vAlign w:val="center"/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“Will I even qualify for this loan?”
“Why is my credit score so low?”
“I just want a straight answer without visiting a branch.”
“Is this EMI actually affordable for me?”</w:t>
            </w:r>
          </w:p>
        </w:tc>
        <w:tc>
          <w:tcPr>
            <w:tcW w:type="dxa" w:w="4513"/>
            <w:vAlign w:val="center"/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“I hope the bank doesn’t reject me after all this effort.”
“There must be an easier, faster way to check this myself.”
“I don’t fully trust generic financial advice online.”
“If I understood my score better, I could plan ahead.”</w:t>
            </w:r>
          </w:p>
        </w:tc>
      </w:tr>
      <w:tr>
        <w:tc>
          <w:tcPr>
            <w:tcW w:type="dxa" w:w="4513"/>
            <w:vAlign w:val="center"/>
          </w:tcPr>
          <w:p>
            <w:r>
              <w:rPr>
                <w:b/>
                <w:bCs/>
                <w:sz w:val="24"/>
                <w:szCs w:val="24"/>
              </w:rPr>
              <w:t xml:space="preserve">DOES</w:t>
            </w:r>
          </w:p>
        </w:tc>
        <w:tc>
          <w:tcPr>
            <w:tcW w:type="dxa" w:w="4513"/>
            <w:vAlign w:val="center"/>
          </w:tcPr>
          <w:p>
            <w:r>
              <w:rPr>
                <w:b/>
                <w:bCs/>
                <w:sz w:val="24"/>
                <w:szCs w:val="24"/>
              </w:rPr>
              <w:t xml:space="preserve">FEELS</w:t>
            </w:r>
          </w:p>
        </w:tc>
      </w:tr>
      <w:tr>
        <w:tc>
          <w:tcPr>
            <w:tcW w:type="dxa" w:w="4513"/>
            <w:vAlign w:val="center"/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Searches online for loan eligibility and EMI calculators.
Asks friends/family about typical approval amounts and EMIs.
Delays applying for a loan due to uncertainty about approval.
Checks credit score occasionally but doesn’t act on it.</w:t>
            </w:r>
          </w:p>
        </w:tc>
        <w:tc>
          <w:tcPr>
            <w:tcW w:type="dxa" w:w="4513"/>
            <w:vAlign w:val="center"/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Anxious about the possibility of rejection.
Overwhelmed by financial jargon and paperwork.
Frustrated by slow, opaque bank processes.
Relieved and confident when given clear, instant, personalized answers.</w:t>
            </w:r>
          </w:p>
        </w:tc>
      </w:tr>
    </w:tbl>
    <w:p>
      <w:pPr>
        <w:spacing w:after="300"/>
      </w:pPr>
    </w:p>
    <w:p>
      <w:pPr>
        <w:spacing w:after="200"/>
      </w:pPr>
      <w:r>
        <w:rPr>
          <w:b/>
          <w:bCs/>
        </w:rPr>
        <w:t xml:space="preserve">Pains &amp; Gains: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vAlign w:val="center"/>
          </w:tcPr>
          <w:p>
            <w:r>
              <w:rPr>
                <w:b/>
                <w:bCs/>
                <w:sz w:val="24"/>
                <w:szCs w:val="24"/>
              </w:rPr>
              <w:t xml:space="preserve">PAINS</w:t>
            </w:r>
          </w:p>
        </w:tc>
        <w:tc>
          <w:tcPr>
            <w:tcW w:type="dxa" w:w="4513"/>
            <w:vAlign w:val="center"/>
          </w:tcPr>
          <w:p>
            <w:r>
              <w:rPr>
                <w:b/>
                <w:bCs/>
                <w:sz w:val="24"/>
                <w:szCs w:val="24"/>
              </w:rPr>
              <w:t xml:space="preserve">GAINS</w:t>
            </w:r>
          </w:p>
        </w:tc>
      </w:tr>
      <w:tr>
        <w:tc>
          <w:tcPr>
            <w:tcW w:type="dxa" w:w="4513"/>
            <w:vAlign w:val="center"/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Long, manual bank processes for eligibility checks.
Technical, unexplained credit reports.
No way to preview EMI affordability before applying.
Generic advice that doesn’t reflect personal numbers.</w:t>
            </w:r>
          </w:p>
        </w:tc>
        <w:tc>
          <w:tcPr>
            <w:tcW w:type="dxa" w:w="4513"/>
            <w:vAlign w:val="center"/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Instant, transparent loan eligibility and risk rating.
Clear, actionable credit-improvement guidance.
Accurate EMI planning before committing to a loan.
Personalized, AI-driven financial advisory on demand.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--ibzfl16-aunf1kzzr4" Type="http://schemas.openxmlformats.org/officeDocument/2006/relationships/hyperlink" Target="https://miro.com/templates/empathy-map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2026-07-19T17:50:43.620Z</dcterms:created>
  <dcterms:modified xsi:type="dcterms:W3CDTF">2026-07-19T17:50:43.632Z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