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28"/>
          <w:szCs w:val="28"/>
        </w:rPr>
        <w:t xml:space="preserve">Requirement Analysis</w:t>
      </w:r>
    </w:p>
    <w:p>
      <w:pPr>
        <w:spacing w:after="300"/>
        <w:jc w:val="center"/>
      </w:pPr>
      <w:r>
        <w:rPr>
          <w:b/>
          <w:bCs/>
          <w:sz w:val="28"/>
          <w:szCs w:val="28"/>
        </w:rPr>
        <w:t xml:space="preserve">Proposed Solution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Date</w:t>
            </w:r>
          </w:p>
        </w:tc>
        <w:tc>
          <w:tcPr>
            <w:tcW w:type="dxa" w:w="4513"/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19 July 2026</w:t>
            </w:r>
          </w:p>
        </w:tc>
      </w:tr>
      <w:tr>
        <w:tc>
          <w:tcPr>
            <w:tcW w:type="dxa" w:w="4513"/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Team ID</w:t>
            </w:r>
          </w:p>
        </w:tc>
        <w:tc>
          <w:tcPr>
            <w:tcW w:type="dxa" w:w="4513"/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FinWise AI Team</w:t>
            </w:r>
          </w:p>
        </w:tc>
      </w:tr>
      <w:tr>
        <w:tc>
          <w:tcPr>
            <w:tcW w:type="dxa" w:w="4513"/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Project Name</w:t>
            </w:r>
          </w:p>
        </w:tc>
        <w:tc>
          <w:tcPr>
            <w:tcW w:type="dxa" w:w="4513"/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FinWise AI: Intelligent Loan Eligibility, Credit Analysis &amp; Financial Advisory Platform</w:t>
            </w:r>
          </w:p>
        </w:tc>
      </w:tr>
      <w:tr>
        <w:tc>
          <w:tcPr>
            <w:tcW w:type="dxa" w:w="4513"/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Maximum Marks</w:t>
            </w:r>
          </w:p>
        </w:tc>
        <w:tc>
          <w:tcPr>
            <w:tcW w:type="dxa" w:w="4513"/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4 Marks</w:t>
            </w:r>
          </w:p>
        </w:tc>
      </w:tr>
    </w:tbl>
    <w:p>
      <w:pPr>
        <w:spacing w:after="200"/>
      </w:pPr>
    </w:p>
    <w:p>
      <w:pPr>
        <w:spacing w:after="200"/>
      </w:pPr>
      <w:r>
        <w:rPr>
          <w:b/>
          <w:bCs/>
        </w:rPr>
        <w:t xml:space="preserve">Proposed Solution Template:</w:t>
      </w:r>
    </w:p>
    <w:p>
      <w:pPr>
        <w:spacing w:after="200"/>
      </w:pPr>
      <w:r>
        <w:t xml:space="preserve">The Proposed Solution defines, in one structured view, the problem being solved, the idea itself, what makes it novel, its social impact, its business model, and how it can scale — forming the bridge between ideation and technical design.</w:t>
      </w:r>
    </w:p>
    <w:p>
      <w:pPr>
        <w:spacing w:after="300"/>
      </w:pPr>
      <w:r>
        <w:t xml:space="preserve">Reference: </w:t>
      </w:r>
      <w:hyperlink w:history="1" r:id="rIdwaucejoyk2phnyaoh_pai">
        <w:r>
          <w:rPr>
            <w:rStyle w:val="Hyperlink"/>
          </w:rPr>
          <w:t xml:space="preserve">https://www.smartsheet.com/content/business-proposal-templates</w:t>
        </w:r>
      </w:hyperlink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S.No</w:t>
            </w:r>
          </w:p>
        </w:tc>
        <w:tc>
          <w:tcPr>
            <w:tcW w:type="dxa" w:w="7226"/>
            <w:gridSpan w:val="1"/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Parameter</w:t>
            </w:r>
          </w:p>
        </w:tc>
      </w:tr>
      <w:tr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7226"/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Problem Statement (Problem to be solved): Individuals lack a single, fast, and transparent platform to check loan eligibility, understand their credit health, and plan EMI affordability before approaching a bank.</w:t>
            </w:r>
          </w:p>
        </w:tc>
      </w:tr>
      <w:tr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7226"/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Idea / Solution description: FinWise AI — an AI-powered BFSI web platform combining a Loan Eligibility Checker, Credit Score Analyzer, EMI Calculator, and AI Financial Advisory in one dark glassmorphism interface, using Claude AI for real-time reasoning.</w:t>
            </w:r>
          </w:p>
        </w:tc>
      </w:tr>
      <w:tr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7226"/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Novelty / Uniqueness: Combines a rule-based DTI/risk/EMI engine with generative AI explanations in a single seamless flow, rather than offering a bare calculator or a generic chatbot alone.</w:t>
            </w:r>
          </w:p>
        </w:tc>
      </w:tr>
      <w:tr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7226"/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Social Impact (How does it solve the problem): Removes the friction, delay, and opacity of traditional loan/credit evaluation, helping users — especially first-time borrowers — make informed financial decisions and improve their credit health.</w:t>
            </w:r>
          </w:p>
        </w:tc>
      </w:tr>
      <w:tr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7226"/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Business Model (Revenue Model): Freemium access for individual users; API/white-label licensing of the eligibility, credit-analysis, and advisory engine to banks, NBFCs, and fintech partners.</w:t>
            </w:r>
          </w:p>
        </w:tc>
      </w:tr>
      <w:tr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7226"/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Scalability of the Solution: Stateless front end and REST-based AI/Sheets integration allow the platform to scale to a growing user base; the same engine can be extended with bureau integrations and multi-language support.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waucejoyk2phnyaoh_pai" Type="http://schemas.openxmlformats.org/officeDocument/2006/relationships/hyperlink" Target="https://www.smartsheet.com/content/business-proposal-templates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2026-07-20T03:49:53.517Z</dcterms:created>
  <dcterms:modified xsi:type="dcterms:W3CDTF">2026-07-20T03:49:53.518Z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