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  <w:jc w:val="center"/>
      </w:pPr>
      <w:r>
        <w:rPr>
          <w:b/>
          <w:bCs/>
          <w:sz w:val="28"/>
          <w:szCs w:val="28"/>
        </w:rPr>
        <w:t xml:space="preserve">Requirement Analysis</w:t>
      </w:r>
    </w:p>
    <w:p>
      <w:pPr>
        <w:spacing w:after="300"/>
        <w:jc w:val="center"/>
      </w:pPr>
      <w:r>
        <w:rPr>
          <w:b/>
          <w:bCs/>
          <w:sz w:val="28"/>
          <w:szCs w:val="28"/>
        </w:rPr>
        <w:t xml:space="preserve">Solution Architecture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4513"/>
            <w:vAlign w:val="center"/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Date</w:t>
            </w:r>
          </w:p>
        </w:tc>
        <w:tc>
          <w:tcPr>
            <w:tcW w:type="dxa" w:w="4513"/>
            <w:vAlign w:val="center"/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19 July 2026</w:t>
            </w:r>
          </w:p>
        </w:tc>
      </w:tr>
      <w:tr>
        <w:tc>
          <w:tcPr>
            <w:tcW w:type="dxa" w:w="4513"/>
            <w:vAlign w:val="center"/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Team ID</w:t>
            </w:r>
          </w:p>
        </w:tc>
        <w:tc>
          <w:tcPr>
            <w:tcW w:type="dxa" w:w="4513"/>
            <w:vAlign w:val="center"/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FinWise AI Team</w:t>
            </w:r>
          </w:p>
        </w:tc>
      </w:tr>
      <w:tr>
        <w:tc>
          <w:tcPr>
            <w:tcW w:type="dxa" w:w="4513"/>
            <w:vAlign w:val="center"/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Project Name</w:t>
            </w:r>
          </w:p>
        </w:tc>
        <w:tc>
          <w:tcPr>
            <w:tcW w:type="dxa" w:w="4513"/>
            <w:vAlign w:val="center"/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FinWise AI: Intelligent Loan Eligibility, Credit Analysis &amp; Financial Advisory Platform</w:t>
            </w:r>
          </w:p>
        </w:tc>
      </w:tr>
      <w:tr>
        <w:tc>
          <w:tcPr>
            <w:tcW w:type="dxa" w:w="4513"/>
            <w:vAlign w:val="center"/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Maximum Marks</w:t>
            </w:r>
          </w:p>
        </w:tc>
        <w:tc>
          <w:tcPr>
            <w:tcW w:type="dxa" w:w="4513"/>
            <w:vAlign w:val="center"/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2 Marks</w:t>
            </w:r>
          </w:p>
        </w:tc>
      </w:tr>
    </w:tbl>
    <w:p>
      <w:pPr>
        <w:spacing w:after="200"/>
      </w:pPr>
    </w:p>
    <w:p>
      <w:pPr>
        <w:spacing w:after="200"/>
      </w:pPr>
      <w:r>
        <w:rPr>
          <w:b/>
          <w:bCs/>
        </w:rPr>
        <w:t xml:space="preserve">Solution Architecture Template:</w:t>
      </w:r>
    </w:p>
    <w:p>
      <w:pPr>
        <w:spacing w:after="200"/>
      </w:pPr>
      <w:r>
        <w:t xml:space="preserve">The Solution Architecture shows how the major components of the system are organized into layers and how they interact — giving the engineering team a blueprint to build against and reviewers a clear picture of the technical design.</w:t>
      </w:r>
    </w:p>
    <w:p>
      <w:pPr>
        <w:spacing w:after="300"/>
      </w:pPr>
      <w:r>
        <w:t xml:space="preserve">Reference: </w:t>
      </w:r>
      <w:hyperlink w:history="1" r:id="rIdgkxcyfwmiwfqept_k7nij">
        <w:r>
          <w:rPr>
            <w:rStyle w:val="Hyperlink"/>
          </w:rPr>
          <w:t xml:space="preserve">https://www.lucidchart.com/pages/software-architecture-diagram</w:t>
        </w:r>
      </w:hyperlink>
    </w:p>
    <w:p>
      <w:pPr>
        <w:spacing w:after="200"/>
      </w:pPr>
      <w:r>
        <w:rPr>
          <w:b/>
          <w:bCs/>
        </w:rPr>
        <w:t xml:space="preserve">FinWise AI follows a three-layer architecture:</w:t>
      </w:r>
    </w:p>
    <w:p>
      <w:pPr>
        <w:spacing w:after="300"/>
        <w:jc w:val="center"/>
      </w:pPr>
      <w:r>
        <w:drawing>
          <wp:inline distT="0" distB="0" distL="0" distR="0">
            <wp:extent cx="4572000" cy="37433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743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c>
          <w:tcPr>
            <w:tcW w:type="dxa" w:w="2200"/>
            <w:vAlign w:val="center"/>
          </w:tcPr>
          <w:p>
            <w:r>
              <w:rPr>
                <w:b/>
                <w:bCs/>
                <w:sz w:val="22"/>
                <w:szCs w:val="22"/>
              </w:rPr>
              <w:t xml:space="preserve">Layer</w:t>
            </w:r>
          </w:p>
        </w:tc>
        <w:tc>
          <w:tcPr>
            <w:tcW w:type="dxa" w:w="6826"/>
            <w:vAlign w:val="center"/>
          </w:tcPr>
          <w:p>
            <w:r>
              <w:rPr>
                <w:b/>
                <w:bCs/>
                <w:sz w:val="22"/>
                <w:szCs w:val="22"/>
              </w:rPr>
              <w:t xml:space="preserve">Responsibility</w:t>
            </w:r>
          </w:p>
        </w:tc>
      </w:tr>
      <w:tr>
        <w:tc>
          <w:tcPr>
            <w:tcW w:type="dxa" w:w="2200"/>
            <w:vAlign w:val="center"/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Presentation Layer</w:t>
            </w:r>
          </w:p>
        </w:tc>
        <w:tc>
          <w:tcPr>
            <w:tcW w:type="dxa" w:w="6826"/>
            <w:vAlign w:val="center"/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HTML5/CSS3/JavaScript single-page interface with dedicated modules for Loan Eligibility Checker, Credit Score Analyzer, EMI Calculator, AI Financial Advisory, and Admin Panel.</w:t>
            </w:r>
          </w:p>
        </w:tc>
      </w:tr>
      <w:tr>
        <w:tc>
          <w:tcPr>
            <w:tcW w:type="dxa" w:w="2200"/>
            <w:vAlign w:val="center"/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Intelligence Layer</w:t>
            </w:r>
          </w:p>
        </w:tc>
        <w:tc>
          <w:tcPr>
            <w:tcW w:type="dxa" w:w="6826"/>
            <w:vAlign w:val="center"/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A rule-based Risk/DTI/EMI engine performs the core financial computations; Claude AI receives applicant parameters via REST calls and returns JSON-structured risk assessments, credit tips, and advisory responses.</w:t>
            </w:r>
          </w:p>
        </w:tc>
      </w:tr>
      <w:tr>
        <w:tc>
          <w:tcPr>
            <w:tcW w:type="dxa" w:w="2200"/>
            <w:vAlign w:val="center"/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Data Layer</w:t>
            </w:r>
          </w:p>
        </w:tc>
        <w:tc>
          <w:tcPr>
            <w:tcW w:type="dxa" w:w="6826"/>
            <w:vAlign w:val="center"/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A local application cache captures every submission; on sync, records are written to a Google Sheet via a service-account-authenticated REST call, keeping a durable, auditable history.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gkxcyfwmiwfqept_k7nij" Type="http://schemas.openxmlformats.org/officeDocument/2006/relationships/hyperlink" Target="https://www.lucidchart.com/pages/software-architecture-diagram" TargetMode="External"/><Relationship Id="rId7" Type="http://schemas.openxmlformats.org/officeDocument/2006/relationships/image" Target="media/4aa846e3c357b14e07678003b5fbc7aad420b50f.png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2026-07-20T03:49:53.696Z</dcterms:created>
  <dcterms:modified xsi:type="dcterms:W3CDTF">2026-07-20T03:49:53.697Z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