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Requirement Analysis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 Team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AI: Intelligent Loan Eligibility, Credit Analysis &amp; Financial Advisory Platform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Technology Stack Template:</w:t>
      </w:r>
    </w:p>
    <w:p>
      <w:pPr>
        <w:spacing w:after="200"/>
      </w:pPr>
      <w:r>
        <w:t xml:space="preserve">The technology stack lists every language, framework, and service used across the layers of the solution, along with the specific purpose each one serves in FinWise AI.</w:t>
      </w:r>
    </w:p>
    <w:p>
      <w:pPr>
        <w:spacing w:after="300"/>
      </w:pPr>
      <w:r>
        <w:t xml:space="preserve">Reference: </w:t>
      </w:r>
      <w:hyperlink w:history="1" r:id="rIdpkeng7svwu1jo145a8jxv">
        <w:r>
          <w:rPr>
            <w:rStyle w:val="Hyperlink"/>
          </w:rPr>
          <w:t xml:space="preserve">https://www.lucidchart.com/pages/technology-stack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Layer / Skill</w:t>
            </w:r>
          </w:p>
        </w:tc>
        <w:tc>
          <w:tcPr>
            <w:tcW w:type="dxa" w:w="3313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13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Markup &amp; Structure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HTML5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Semantic structure for all four platform modules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Styling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CSS3 with CSS Animations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Dark glassmorphism visual theme and micro-interactions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Client Logic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JavaScript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DTI/EMI/risk calculations, UI state, API calls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 / Scripting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Server-side utilities and data processing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Reasoning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Generative AI (Claude)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Eligibility analysis, credit tips, and advisory chat responses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REST APIs, JSON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exchange between front end, Claude AI, and Google Sheets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Persistence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Google Sheets API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Transparent, persistent storage of application records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Source control and team collaboration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Netlify</w:t>
            </w:r>
          </w:p>
        </w:tc>
        <w:tc>
          <w:tcPr>
            <w:tcW w:type="dxa" w:w="33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Hosting and continuous deployment of the live platform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keng7svwu1jo145a8jxv" Type="http://schemas.openxmlformats.org/officeDocument/2006/relationships/hyperlink" Target="https://www.lucidchart.com/pages/technology-stac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2026-07-20T03:44:28.284Z</dcterms:created>
  <dcterms:modified xsi:type="dcterms:W3CDTF">2026-07-20T03:44:28.285Z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