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ABF3 Experiment (v6) — Mobile — Lift &amp; Graduation Generalization Report</w:t>
      </w:r>
    </w:p>
    <w:p>
      <w:r/>
      <w:r>
        <w:rPr>
          <w:b/>
        </w:rPr>
        <w:t>Experiment:</w:t>
      </w:r>
      <w:r>
        <w:t xml:space="preserve"> </w:t>
      </w:r>
      <w:r>
        <w:rPr>
          <w:rFonts w:ascii="Courier New" w:hAnsi="Courier New"/>
        </w:rPr>
        <w:t>ads_mobile_abf_3_v6</w:t>
      </w:r>
      <w:r>
        <w:t xml:space="preserve"> (Mobile: android, iphone, ipad, firetablet, android_samsung)</w:t>
      </w:r>
    </w:p>
    <w:p>
      <w:r/>
      <w:r>
        <w:rPr>
          <w:b/>
        </w:rPr>
        <w:t>Design:</w:t>
      </w:r>
      <w:r>
        <w:t xml:space="preserve"> ABF1 (Control) vs ABF3 (Test), 1,084 titles, ABF3 pruned (new algorithm) to ~ABF2 density</w:t>
      </w:r>
    </w:p>
    <w:p>
      <w:r/>
      <w:r>
        <w:rPr>
          <w:b/>
        </w:rPr>
        <w:t>Launch:</w:t>
      </w:r>
      <w:r>
        <w:t xml:space="preserve"> 2026-05-27 · </w:t>
      </w:r>
      <w:r>
        <w:rPr>
          <w:b/>
        </w:rPr>
        <w:t>Analysis window:</w:t>
      </w:r>
      <w:r>
        <w:t xml:space="preserve"> 2026-05-27 → 2026-06-04 (complete days) · </w:t>
      </w:r>
      <w:r>
        <w:rPr>
          <w:b/>
        </w:rPr>
        <w:t>Baseline/pre-period:</w:t>
      </w:r>
      <w:r>
        <w:t xml:space="preserve"> 2026-05-13 → 2026-05-26 (clean pre-launch)</w:t>
      </w:r>
    </w:p>
    <w:p>
      <w:r/>
      <w:r>
        <w:rPr>
          <w:b/>
        </w:rPr>
        <w:t>Notebooks:</w:t>
      </w:r>
      <w:r>
        <w:t xml:space="preserve"> </w:t>
      </w:r>
      <w:r>
        <w:rPr>
          <w:rFonts w:ascii="Courier New" w:hAnsi="Courier New"/>
        </w:rPr>
        <w:t>/Users/bpulikkal@tubi.tv/ABF_3/ads_abf_3_v6__*</w:t>
      </w:r>
      <w:r>
        <w:t xml:space="preserve"> run with mobile params; outputs </w:t>
      </w:r>
      <w:r>
        <w:rPr>
          <w:rFonts w:ascii="Courier New" w:hAnsi="Courier New"/>
        </w:rPr>
        <w:t>ads_mobile_abf_3_v6__*__run_2026-06-05_OUTPUT</w:t>
      </w:r>
      <w:r/>
    </w:p>
    <w:p>
      <w:r/>
      <w:r>
        <w:rPr>
          <w:b/>
        </w:rPr>
        <w:t>Method:</w:t>
      </w:r>
      <w:r>
        <w:t xml:space="preserve"> Same 6-notebook suite as OTT, parameterized per platform. All topline-denominator computations scoped to </w:t>
      </w:r>
      <w:r>
        <w:rPr>
          <w:rFonts w:ascii="Courier New" w:hAnsi="Courier New"/>
        </w:rPr>
        <w:t>platform_type = 'MOBILE'</w:t>
      </w:r>
      <w:r>
        <w:t>.</w:t>
      </w:r>
    </w:p>
    <w:p>
      <w:pPr>
        <w:pStyle w:val="Heading1"/>
      </w:pPr>
      <w:r>
        <w:t>TL;DR</w:t>
      </w:r>
    </w:p>
    <w:p>
      <w:r>
        <w:t xml:space="preserve">Mobile shows a </w:t>
      </w:r>
      <w:r>
        <w:rPr>
          <w:b/>
        </w:rPr>
        <w:t>strong, significant revenue lift of ABF3 over ABF1</w:t>
      </w:r>
      <w:r>
        <w:t xml:space="preserve">: </w:t>
      </w:r>
      <w:r>
        <w:rPr>
          <w:b/>
        </w:rPr>
        <w:t>+6.89% unbudgeted revenue, +7.88% impressions</w:t>
      </w:r>
      <w:r>
        <w:t xml:space="preserve"> on experiment titles (device-level ToT, CUPED), but with a </w:t>
      </w:r>
      <w:r>
        <w:rPr>
          <w:b/>
        </w:rPr>
        <w:t>significant −0.90% TVT</w:t>
      </w:r>
      <w:r>
        <w:t xml:space="preserve"> on those titles — </w:t>
      </w:r>
      <w:r>
        <w:rPr>
          <w:b/>
        </w:rPr>
        <w:t>the largest engagement cost of the three platforms</w:t>
      </w:r>
      <w:r>
        <w:t xml:space="preserve"> (OTT −0.33%, web flat). The revenue win is real and large; the TVT cost is the thing to weigh.</w:t>
      </w:r>
    </w:p>
    <w:p>
      <w:pPr>
        <w:pStyle w:val="ListBullet"/>
      </w:pPr>
      <w:r/>
      <w:r>
        <w:rPr>
          <w:b/>
        </w:rPr>
        <w:t>Generalization holds.</w:t>
      </w:r>
      <w:r>
        <w:t xml:space="preserve"> Poststratified onto the full mobile ABF1 universe, the on-ABF1-title revenue lift is ~</w:t>
      </w:r>
      <w:r>
        <w:rPr>
          <w:b/>
        </w:rPr>
        <w:t>+8.2%</w:t>
      </w:r>
      <w:r>
        <w:t xml:space="preserve"> (revenue-weighted); TVT-weighted title-clustered point </w:t>
      </w:r>
      <w:r>
        <w:rPr>
          <w:b/>
        </w:rPr>
        <w:t>+6.83%</w:t>
      </w:r>
      <w:r>
        <w:t xml:space="preserve">, 95% CI </w:t>
      </w:r>
      <w:r>
        <w:rPr>
          <w:b/>
        </w:rPr>
        <w:t>[+5.22%, +8.49%]</w:t>
      </w:r>
      <w:r>
        <w:t xml:space="preserve"> (2,000-iter title bootstrap). Revenue lift is heterogeneous across density (highest at low ABF1 density), but positive in every decile.</w:t>
      </w:r>
    </w:p>
    <w:p>
      <w:pPr>
        <w:pStyle w:val="ListBullet"/>
      </w:pPr>
      <w:r/>
      <w:r>
        <w:rPr>
          <w:b/>
        </w:rPr>
        <w:t>Global (topline, mobile-scoped) revenue impact of graduating:</w:t>
      </w:r>
      <w:r>
        <w:t xml:space="preserve"> mobile ABF1 titles = </w:t>
      </w:r>
      <w:r>
        <w:rPr>
          <w:b/>
        </w:rPr>
        <w:t>38.97% of mobile unbudgeted revenue / 40.76% of mobile TVT</w:t>
      </w:r>
      <w:r>
        <w:t xml:space="preserve">; </w:t>
      </w:r>
      <w:r>
        <w:rPr>
          <w:b/>
        </w:rPr>
        <w:t>68.4%</w:t>
      </w:r>
      <w:r>
        <w:t xml:space="preserve"> of mobile devices watch ≥1 ABF1 title. Diluting the +8.19% ABF1-wide lift → </w:t>
      </w:r>
      <w:r>
        <w:rPr>
          <w:b/>
        </w:rPr>
        <w:t>global mobile unbudgeted revenue ~+3.19%</w:t>
      </w:r>
      <w:r>
        <w:t xml:space="preserve"> (CI </w:t>
      </w:r>
      <w:r>
        <w:rPr>
          <w:b/>
        </w:rPr>
        <w:t>[+2.45%, +3.94%]</w:t>
      </w:r>
      <w:r>
        <w:t>).</w:t>
      </w:r>
    </w:p>
    <w:p>
      <w:pPr>
        <w:pStyle w:val="ListBullet"/>
      </w:pPr>
      <w:r/>
      <w:r>
        <w:rPr>
          <w:b/>
        </w:rPr>
        <w:t>Global (topline, mobile-scoped) TVT impact:</w:t>
      </w:r>
      <w:r>
        <w:t xml:space="preserve"> </w:t>
      </w:r>
      <w:r>
        <w:rPr>
          <w:b/>
        </w:rPr>
        <w:t>−0.34%</w:t>
      </w:r>
      <w:r>
        <w:t xml:space="preserve"> (on-title dilution) to </w:t>
      </w:r>
      <w:r>
        <w:rPr>
          <w:b/>
        </w:rPr>
        <w:t>−0.70%</w:t>
      </w:r>
      <w:r>
        <w:t xml:space="preserve"> (coverage-scaling w/ spillover). The spillover end is more realistic on mobile — the ITT all-titles TVT decline (−0.27%) exceeds on-title losses alone, indicating heavier ABF1 ad loads modestly suppress total mobile watch time.</w:t>
      </w:r>
    </w:p>
    <w:p>
      <w:pPr>
        <w:pStyle w:val="ListBullet"/>
      </w:pPr>
      <w:r/>
      <w:r>
        <w:rPr>
          <w:b/>
        </w:rPr>
        <w:t>Graduation trade ≈ +3.2% global mobile revenue for ~−0.4% to −0.7% global mobile TVT.</w:t>
      </w:r>
      <w:r>
        <w:t xml:space="preserve"> </w:t>
      </w:r>
      <w:r>
        <w:rPr>
          <w:rFonts w:ascii="Courier New" w:hAnsi="Courier New"/>
        </w:rPr>
        <w:t>me_score</w:t>
      </w:r>
      <w:r>
        <w:t>/</w:t>
      </w:r>
      <w:r>
        <w:rPr>
          <w:rFonts w:ascii="Courier New" w:hAnsi="Courier New"/>
        </w:rPr>
        <w:t>e_score</w:t>
      </w:r>
      <w:r>
        <w:t xml:space="preserve"> (offline) remain the formal gate, not computed here.</w:t>
      </w:r>
    </w:p>
    <w:p>
      <w:pPr>
        <w:pStyle w:val="Heading1"/>
      </w:pPr>
      <w:r>
        <w:t>1. Headline lift (device-level, CUPED)</w:t>
      </w:r>
    </w:p>
    <w:p>
      <w:r>
        <w:t>CUPED-adjusted (14-day pre-period covariate 2026-05-13→05-26; pooled θ; 95% CI). ToT n ≈ 1.22M/arm, ITT n ≈ 3.61M/arm.</w:t>
      </w:r>
    </w:p>
    <w:p>
      <w:r/>
      <w:r>
        <w:rPr>
          <w:b/>
        </w:rPr>
        <w:t>ToT — devices that watched ≥1 experiment title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Lift (CUPED)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Sig?</w:t>
            </w:r>
          </w:p>
        </w:tc>
      </w:tr>
      <w:tr>
        <w:tc>
          <w:tcPr>
            <w:tcW w:type="dxa" w:w="1728"/>
          </w:tcPr>
          <w:p>
            <w:r>
              <w:t>ABF3 titles only</w:t>
            </w:r>
          </w:p>
        </w:tc>
        <w:tc>
          <w:tcPr>
            <w:tcW w:type="dxa" w:w="1728"/>
          </w:tcPr>
          <w:p>
            <w:r>
              <w:t>Unbudgeted Revenue</w:t>
            </w:r>
          </w:p>
        </w:tc>
        <w:tc>
          <w:tcPr>
            <w:tcW w:type="dxa" w:w="1728"/>
          </w:tcPr>
          <w:p>
            <w:r>
              <w:t>+6.89%</w:t>
            </w:r>
          </w:p>
        </w:tc>
        <w:tc>
          <w:tcPr>
            <w:tcW w:type="dxa" w:w="1728"/>
          </w:tcPr>
          <w:p>
            <w:r>
              <w:t>[+6.21%, +7.58%]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ABF3 titles only</w:t>
            </w:r>
          </w:p>
        </w:tc>
        <w:tc>
          <w:tcPr>
            <w:tcW w:type="dxa" w:w="1728"/>
          </w:tcPr>
          <w:p>
            <w:r>
              <w:t>Unbudgeted Impressions</w:t>
            </w:r>
          </w:p>
        </w:tc>
        <w:tc>
          <w:tcPr>
            <w:tcW w:type="dxa" w:w="1728"/>
          </w:tcPr>
          <w:p>
            <w:r>
              <w:t>+7.88%</w:t>
            </w:r>
          </w:p>
        </w:tc>
        <w:tc>
          <w:tcPr>
            <w:tcW w:type="dxa" w:w="1728"/>
          </w:tcPr>
          <w:p>
            <w:r>
              <w:t>[+7.22%, +8.55%]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ABF3 titles only</w:t>
            </w:r>
          </w:p>
        </w:tc>
        <w:tc>
          <w:tcPr>
            <w:tcW w:type="dxa" w:w="1728"/>
          </w:tcPr>
          <w:p>
            <w:r>
              <w:t>TVT</w:t>
            </w:r>
          </w:p>
        </w:tc>
        <w:tc>
          <w:tcPr>
            <w:tcW w:type="dxa" w:w="1728"/>
          </w:tcPr>
          <w:p>
            <w:r>
              <w:t>−0.90%</w:t>
            </w:r>
          </w:p>
        </w:tc>
        <w:tc>
          <w:tcPr>
            <w:tcW w:type="dxa" w:w="1728"/>
          </w:tcPr>
          <w:p>
            <w:r>
              <w:t>[−1.43%, −0.37%]</w:t>
            </w:r>
          </w:p>
        </w:tc>
        <w:tc>
          <w:tcPr>
            <w:tcW w:type="dxa" w:w="1728"/>
          </w:tcPr>
          <w:p>
            <w:r>
              <w:t>yes (negative)</w:t>
            </w:r>
          </w:p>
        </w:tc>
      </w:tr>
      <w:tr>
        <w:tc>
          <w:tcPr>
            <w:tcW w:type="dxa" w:w="1728"/>
          </w:tcPr>
          <w:p>
            <w:r>
              <w:t>All titles</w:t>
            </w:r>
          </w:p>
        </w:tc>
        <w:tc>
          <w:tcPr>
            <w:tcW w:type="dxa" w:w="1728"/>
          </w:tcPr>
          <w:p>
            <w:r>
              <w:t>Unbudgeted Revenue</w:t>
            </w:r>
          </w:p>
        </w:tc>
        <w:tc>
          <w:tcPr>
            <w:tcW w:type="dxa" w:w="1728"/>
          </w:tcPr>
          <w:p>
            <w:r>
              <w:t>+0.97%</w:t>
            </w:r>
          </w:p>
        </w:tc>
        <w:tc>
          <w:tcPr>
            <w:tcW w:type="dxa" w:w="1728"/>
          </w:tcPr>
          <w:p>
            <w:r>
              <w:t>[+0.56%, +1.38%]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All titles</w:t>
            </w:r>
          </w:p>
        </w:tc>
        <w:tc>
          <w:tcPr>
            <w:tcW w:type="dxa" w:w="1728"/>
          </w:tcPr>
          <w:p>
            <w:r>
              <w:t>Unbudgeted Impressions</w:t>
            </w:r>
          </w:p>
        </w:tc>
        <w:tc>
          <w:tcPr>
            <w:tcW w:type="dxa" w:w="1728"/>
          </w:tcPr>
          <w:p>
            <w:r>
              <w:t>+1.11%</w:t>
            </w:r>
          </w:p>
        </w:tc>
        <w:tc>
          <w:tcPr>
            <w:tcW w:type="dxa" w:w="1728"/>
          </w:tcPr>
          <w:p>
            <w:r>
              <w:t>[+0.72%, +1.50%]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All titles</w:t>
            </w:r>
          </w:p>
        </w:tc>
        <w:tc>
          <w:tcPr>
            <w:tcW w:type="dxa" w:w="1728"/>
          </w:tcPr>
          <w:p>
            <w:r>
              <w:t>TVT</w:t>
            </w:r>
          </w:p>
        </w:tc>
        <w:tc>
          <w:tcPr>
            <w:tcW w:type="dxa" w:w="1728"/>
          </w:tcPr>
          <w:p>
            <w:r>
              <w:t>−0.26%</w:t>
            </w:r>
          </w:p>
        </w:tc>
        <w:tc>
          <w:tcPr>
            <w:tcW w:type="dxa" w:w="1728"/>
          </w:tcPr>
          <w:p>
            <w:r>
              <w:t>[−0.59%, +0.06%]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r/>
      <w:r>
        <w:rPr>
          <w:b/>
        </w:rPr>
        <w:t>ITT — all assigned devices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Lift (CUPED)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Sig?</w:t>
            </w:r>
          </w:p>
        </w:tc>
      </w:tr>
      <w:tr>
        <w:tc>
          <w:tcPr>
            <w:tcW w:type="dxa" w:w="1728"/>
          </w:tcPr>
          <w:p>
            <w:r>
              <w:t>ABF3 titles only</w:t>
            </w:r>
          </w:p>
        </w:tc>
        <w:tc>
          <w:tcPr>
            <w:tcW w:type="dxa" w:w="1728"/>
          </w:tcPr>
          <w:p>
            <w:r>
              <w:t>Unbudgeted Revenue</w:t>
            </w:r>
          </w:p>
        </w:tc>
        <w:tc>
          <w:tcPr>
            <w:tcW w:type="dxa" w:w="1728"/>
          </w:tcPr>
          <w:p>
            <w:r>
              <w:t>+6.77%</w:t>
            </w:r>
          </w:p>
        </w:tc>
        <w:tc>
          <w:tcPr>
            <w:tcW w:type="dxa" w:w="1728"/>
          </w:tcPr>
          <w:p>
            <w:r>
              <w:t>[+6.05%, +7.49%]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ABF3 titles only</w:t>
            </w:r>
          </w:p>
        </w:tc>
        <w:tc>
          <w:tcPr>
            <w:tcW w:type="dxa" w:w="1728"/>
          </w:tcPr>
          <w:p>
            <w:r>
              <w:t>Unbudgeted Impressions</w:t>
            </w:r>
          </w:p>
        </w:tc>
        <w:tc>
          <w:tcPr>
            <w:tcW w:type="dxa" w:w="1728"/>
          </w:tcPr>
          <w:p>
            <w:r>
              <w:t>+7.78%</w:t>
            </w:r>
          </w:p>
        </w:tc>
        <w:tc>
          <w:tcPr>
            <w:tcW w:type="dxa" w:w="1728"/>
          </w:tcPr>
          <w:p>
            <w:r>
              <w:t>[+7.08%, +8.48%]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ABF3 titles only</w:t>
            </w:r>
          </w:p>
        </w:tc>
        <w:tc>
          <w:tcPr>
            <w:tcW w:type="dxa" w:w="1728"/>
          </w:tcPr>
          <w:p>
            <w:r>
              <w:t>TVT</w:t>
            </w:r>
          </w:p>
        </w:tc>
        <w:tc>
          <w:tcPr>
            <w:tcW w:type="dxa" w:w="1728"/>
          </w:tcPr>
          <w:p>
            <w:r>
              <w:t>−0.94%</w:t>
            </w:r>
          </w:p>
        </w:tc>
        <w:tc>
          <w:tcPr>
            <w:tcW w:type="dxa" w:w="1728"/>
          </w:tcPr>
          <w:p>
            <w:r>
              <w:t>[−1.52%, −0.37%]</w:t>
            </w:r>
          </w:p>
        </w:tc>
        <w:tc>
          <w:tcPr>
            <w:tcW w:type="dxa" w:w="1728"/>
          </w:tcPr>
          <w:p>
            <w:r>
              <w:t>yes (negative)</w:t>
            </w:r>
          </w:p>
        </w:tc>
      </w:tr>
      <w:tr>
        <w:tc>
          <w:tcPr>
            <w:tcW w:type="dxa" w:w="1728"/>
          </w:tcPr>
          <w:p>
            <w:r>
              <w:t>All titles</w:t>
            </w:r>
          </w:p>
        </w:tc>
        <w:tc>
          <w:tcPr>
            <w:tcW w:type="dxa" w:w="1728"/>
          </w:tcPr>
          <w:p>
            <w:r>
              <w:t>Unbudgeted Revenue</w:t>
            </w:r>
          </w:p>
        </w:tc>
        <w:tc>
          <w:tcPr>
            <w:tcW w:type="dxa" w:w="1728"/>
          </w:tcPr>
          <w:p>
            <w:r>
              <w:t>+0.66%</w:t>
            </w:r>
          </w:p>
        </w:tc>
        <w:tc>
          <w:tcPr>
            <w:tcW w:type="dxa" w:w="1728"/>
          </w:tcPr>
          <w:p>
            <w:r>
              <w:t>[+0.34%, +0.98%]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All titles</w:t>
            </w:r>
          </w:p>
        </w:tc>
        <w:tc>
          <w:tcPr>
            <w:tcW w:type="dxa" w:w="1728"/>
          </w:tcPr>
          <w:p>
            <w:r>
              <w:t>Unbudgeted Impressions</w:t>
            </w:r>
          </w:p>
        </w:tc>
        <w:tc>
          <w:tcPr>
            <w:tcW w:type="dxa" w:w="1728"/>
          </w:tcPr>
          <w:p>
            <w:r>
              <w:t>+0.77%</w:t>
            </w:r>
          </w:p>
        </w:tc>
        <w:tc>
          <w:tcPr>
            <w:tcW w:type="dxa" w:w="1728"/>
          </w:tcPr>
          <w:p>
            <w:r>
              <w:t>[+0.46%, +1.08%]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All titles</w:t>
            </w:r>
          </w:p>
        </w:tc>
        <w:tc>
          <w:tcPr>
            <w:tcW w:type="dxa" w:w="1728"/>
          </w:tcPr>
          <w:p>
            <w:r>
              <w:t>TVT</w:t>
            </w:r>
          </w:p>
        </w:tc>
        <w:tc>
          <w:tcPr>
            <w:tcW w:type="dxa" w:w="1728"/>
          </w:tcPr>
          <w:p>
            <w:r>
              <w:t>−0.12%</w:t>
            </w:r>
          </w:p>
        </w:tc>
        <w:tc>
          <w:tcPr>
            <w:tcW w:type="dxa" w:w="1728"/>
          </w:tcPr>
          <w:p>
            <w:r>
              <w:t>[−0.39%, +0.14%]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r/>
      <w:r>
        <w:rPr>
          <w:b/>
        </w:rPr>
        <w:t>Coverage:</w:t>
      </w:r>
      <w:r>
        <w:t xml:space="preserve"> experiment titles = </w:t>
      </w:r>
      <w:r>
        <w:rPr>
          <w:b/>
        </w:rPr>
        <w:t>15.55%</w:t>
      </w:r>
      <w:r>
        <w:t xml:space="preserve"> of mobile exposed-device TVT (baseline window). CUPED variance reduction: large on all-titles cuts (48–62%), modest on ABF3-only (11–23%).</w:t>
      </w:r>
    </w:p>
    <w:p>
      <w:r>
        <w:rPr>
          <w:i/>
        </w:rPr>
        <w:t>Watch-out: Mobile is the only platform where the on-title TVT decline is both significant and ≈1% (ToT −0.90%, ITT −0.94%). On OTT it was −0.33%; on web it is flat. The all-titles TVT decline is not significant but consistently negative.</w:t>
      </w:r>
    </w:p>
    <w:p>
      <w:pPr>
        <w:pStyle w:val="Heading1"/>
      </w:pPr>
      <w:r>
        <w:t>2. Generalization to all mobile ABF1 titles (the graduation question)</w:t>
      </w:r>
    </w:p>
    <w:p>
      <w:r>
        <w:t xml:space="preserve">ABF1 universe = {titles with no ABF cue points} ∪ {1,084 experiment titles} = 492,024 titles. Baseline density = served </w:t>
      </w:r>
      <w:r>
        <w:rPr>
          <w:rFonts w:ascii="Courier New" w:hAnsi="Courier New"/>
        </w:rPr>
        <w:t>cue_points</w:t>
      </w:r>
      <w:r>
        <w:t>. All TVT weighting uses the 14-day pre-launch window, mobile-scoped.</w:t>
      </w:r>
    </w:p>
    <w:p>
      <w:pPr>
        <w:pStyle w:val="Heading2"/>
      </w:pPr>
      <w:r>
        <w:t>2a. Representativeness (sample vs rest of universe)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Sample (1,084)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Rest of universe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Mobile TVT share</w:t>
            </w:r>
          </w:p>
        </w:tc>
        <w:tc>
          <w:tcPr>
            <w:tcW w:type="dxa" w:w="2160"/>
          </w:tcPr>
          <w:p>
            <w:r>
              <w:t>38.14%</w:t>
            </w:r>
          </w:p>
        </w:tc>
        <w:tc>
          <w:tcPr>
            <w:tcW w:type="dxa" w:w="2160"/>
          </w:tcPr>
          <w:p>
            <w:r>
              <w:t>61.86%</w:t>
            </w:r>
          </w:p>
        </w:tc>
        <w:tc>
          <w:tcPr>
            <w:tcW w:type="dxa" w:w="2160"/>
          </w:tcPr>
          <w:p>
            <w:r>
              <w:t>sample = large titles</w:t>
            </w:r>
          </w:p>
        </w:tc>
      </w:tr>
      <w:tr>
        <w:tc>
          <w:tcPr>
            <w:tcW w:type="dxa" w:w="2160"/>
          </w:tcPr>
          <w:p>
            <w:r>
              <w:t>ABF1 density, unweighted</w:t>
            </w:r>
          </w:p>
        </w:tc>
        <w:tc>
          <w:tcPr>
            <w:tcW w:type="dxa" w:w="2160"/>
          </w:tcPr>
          <w:p>
            <w:r>
              <w:t>7.44</w:t>
            </w:r>
          </w:p>
        </w:tc>
        <w:tc>
          <w:tcPr>
            <w:tcW w:type="dxa" w:w="2160"/>
          </w:tcPr>
          <w:p>
            <w:r>
              <w:t>2.80</w:t>
            </w:r>
          </w:p>
        </w:tc>
        <w:tc>
          <w:tcPr>
            <w:tcW w:type="dxa" w:w="2160"/>
          </w:tcPr>
          <w:p>
            <w:r>
              <w:t>std diff 1.19 (huge)</w:t>
            </w:r>
          </w:p>
        </w:tc>
      </w:tr>
      <w:tr>
        <w:tc>
          <w:tcPr>
            <w:tcW w:type="dxa" w:w="2160"/>
          </w:tcPr>
          <w:p>
            <w:r>
              <w:t>ABF1 density, TVT-weighted</w:t>
            </w:r>
          </w:p>
        </w:tc>
        <w:tc>
          <w:tcPr>
            <w:tcW w:type="dxa" w:w="2160"/>
          </w:tcPr>
          <w:p>
            <w:r>
              <w:t>9.81</w:t>
            </w:r>
          </w:p>
        </w:tc>
        <w:tc>
          <w:tcPr>
            <w:tcW w:type="dxa" w:w="2160"/>
          </w:tcPr>
          <w:p>
            <w:r>
              <w:t>7.41</w:t>
            </w:r>
          </w:p>
        </w:tc>
        <w:tc>
          <w:tcPr>
            <w:tcW w:type="dxa" w:w="2160"/>
          </w:tcPr>
          <w:p>
            <w:r>
              <w:t>close</w:t>
            </w:r>
          </w:p>
        </w:tc>
      </w:tr>
      <w:tr>
        <w:tc>
          <w:tcPr>
            <w:tcW w:type="dxa" w:w="2160"/>
          </w:tcPr>
          <w:p>
            <w:r>
              <w:t>Duration, unweighted</w:t>
            </w:r>
          </w:p>
        </w:tc>
        <w:tc>
          <w:tcPr>
            <w:tcW w:type="dxa" w:w="2160"/>
          </w:tcPr>
          <w:p>
            <w:r>
              <w:t>4,476s</w:t>
            </w:r>
          </w:p>
        </w:tc>
        <w:tc>
          <w:tcPr>
            <w:tcW w:type="dxa" w:w="2160"/>
          </w:tcPr>
          <w:p>
            <w:r>
              <w:t>1,859s</w:t>
            </w:r>
          </w:p>
        </w:tc>
        <w:tc>
          <w:tcPr>
            <w:tcW w:type="dxa" w:w="2160"/>
          </w:tcPr>
          <w:p>
            <w:r>
              <w:t>std diff 1.26 (huge)</w:t>
            </w:r>
          </w:p>
        </w:tc>
      </w:tr>
      <w:tr>
        <w:tc>
          <w:tcPr>
            <w:tcW w:type="dxa" w:w="2160"/>
          </w:tcPr>
          <w:p>
            <w:r>
              <w:t>Duration, TVT-weighted</w:t>
            </w:r>
          </w:p>
        </w:tc>
        <w:tc>
          <w:tcPr>
            <w:tcW w:type="dxa" w:w="2160"/>
          </w:tcPr>
          <w:p>
            <w:r>
              <w:t>6,106s</w:t>
            </w:r>
          </w:p>
        </w:tc>
        <w:tc>
          <w:tcPr>
            <w:tcW w:type="dxa" w:w="2160"/>
          </w:tcPr>
          <w:p>
            <w:r>
              <w:t>4,485s</w:t>
            </w:r>
          </w:p>
        </w:tc>
        <w:tc>
          <w:tcPr>
            <w:tcW w:type="dxa" w:w="2160"/>
          </w:tcPr>
          <w:p>
            <w:r>
              <w:t>close</w:t>
            </w:r>
          </w:p>
        </w:tc>
      </w:tr>
    </w:tbl>
    <w:p>
      <w:r>
        <w:t>Raw per-title skew is large (long zero-TVT tail; only 150,464 / 490,940 non-experiment titles have any mobile TVT), but on the decision-relevant TVT-weighted basis the sample is close to the population. The projection in §2c corrects residual skew.</w:t>
      </w:r>
    </w:p>
    <w:p>
      <w:pPr>
        <w:pStyle w:val="Heading2"/>
      </w:pPr>
      <w:r>
        <w:t>2b. Heterogeneity — revenue lift by ABF1 density decile (ToT, ABF3 titles)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Density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 lift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TVT lift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+20.48%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+14.75%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2–4</w:t>
            </w:r>
          </w:p>
        </w:tc>
        <w:tc>
          <w:tcPr>
            <w:tcW w:type="dxa" w:w="2160"/>
          </w:tcPr>
          <w:p>
            <w:r>
              <w:t>+15.21%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4–7</w:t>
            </w:r>
          </w:p>
        </w:tc>
        <w:tc>
          <w:tcPr>
            <w:tcW w:type="dxa" w:w="2160"/>
          </w:tcPr>
          <w:p>
            <w:r>
              <w:t>+9.80%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7–8</w:t>
            </w:r>
          </w:p>
        </w:tc>
        <w:tc>
          <w:tcPr>
            <w:tcW w:type="dxa" w:w="2160"/>
          </w:tcPr>
          <w:p>
            <w:r>
              <w:t>+10.48%</w:t>
            </w:r>
          </w:p>
        </w:tc>
        <w:tc>
          <w:tcPr>
            <w:tcW w:type="dxa" w:w="2160"/>
          </w:tcPr>
          <w:p>
            <w:r>
              <w:t>−1.02% (sig)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8–9</w:t>
            </w:r>
          </w:p>
        </w:tc>
        <w:tc>
          <w:tcPr>
            <w:tcW w:type="dxa" w:w="2160"/>
          </w:tcPr>
          <w:p>
            <w:r>
              <w:t>+8.99%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9–10</w:t>
            </w:r>
          </w:p>
        </w:tc>
        <w:tc>
          <w:tcPr>
            <w:tcW w:type="dxa" w:w="2160"/>
          </w:tcPr>
          <w:p>
            <w:r>
              <w:t>+6.81%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10–11</w:t>
            </w:r>
          </w:p>
        </w:tc>
        <w:tc>
          <w:tcPr>
            <w:tcW w:type="dxa" w:w="2160"/>
          </w:tcPr>
          <w:p>
            <w:r>
              <w:t>+6.91%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11–12</w:t>
            </w:r>
          </w:p>
        </w:tc>
        <w:tc>
          <w:tcPr>
            <w:tcW w:type="dxa" w:w="2160"/>
          </w:tcPr>
          <w:p>
            <w:r>
              <w:t>+3.83%</w:t>
            </w:r>
          </w:p>
        </w:tc>
        <w:tc>
          <w:tcPr>
            <w:tcW w:type="dxa" w:w="2160"/>
          </w:tcPr>
          <w:p>
            <w:r>
              <w:t>−1.28% (sig)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12–36</w:t>
            </w:r>
          </w:p>
        </w:tc>
        <w:tc>
          <w:tcPr>
            <w:tcW w:type="dxa" w:w="2160"/>
          </w:tcPr>
          <w:p>
            <w:r>
              <w:t>+1.78%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</w:tr>
    </w:tbl>
    <w:p>
      <w:r>
        <w:t xml:space="preserve">Monotone-decreasing in density: the sparsest ABF1 titles gain the most (most headroom to add breaks). Positive and significant in every decile. </w:t>
      </w:r>
      <w:r>
        <w:rPr>
          <w:b/>
        </w:rPr>
        <w:t>By content type:</w:t>
      </w:r>
      <w:r>
        <w:t xml:space="preserve"> MOVIE +6.07% rev / </w:t>
      </w:r>
      <w:r>
        <w:rPr>
          <w:b/>
        </w:rPr>
        <w:t>−1.04% TVT (sig)</w:t>
      </w:r>
      <w:r>
        <w:t>, SERIES +9.46% rev / −1.00% TVT (ns).</w:t>
      </w:r>
    </w:p>
    <w:p>
      <w:pPr>
        <w:pStyle w:val="Heading2"/>
      </w:pPr>
      <w:r>
        <w:t>2c. Title-clustered CI &amp; poststratified projection (revenue, ToT)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Naive sample lift (TVT-weighted, per-title basis)</w:t>
            </w:r>
          </w:p>
        </w:tc>
        <w:tc>
          <w:tcPr>
            <w:tcW w:type="dxa" w:w="4320"/>
          </w:tcPr>
          <w:p>
            <w:r>
              <w:t>+6.83%</w:t>
            </w:r>
          </w:p>
        </w:tc>
      </w:tr>
      <w:tr>
        <w:tc>
          <w:tcPr>
            <w:tcW w:type="dxa" w:w="4320"/>
          </w:tcPr>
          <w:p>
            <w:r>
              <w:t>Unweighted (per-title) sample lift</w:t>
            </w:r>
          </w:p>
        </w:tc>
        <w:tc>
          <w:tcPr>
            <w:tcW w:type="dxa" w:w="4320"/>
          </w:tcPr>
          <w:p>
            <w:r>
              <w:t>+8.08%</w:t>
            </w:r>
          </w:p>
        </w:tc>
      </w:tr>
      <w:tr>
        <w:tc>
          <w:tcPr>
            <w:tcW w:type="dxa" w:w="4320"/>
          </w:tcPr>
          <w:p>
            <w:r>
              <w:t>Poststratified projection onto full mobile ABF1 universe (TVT-weighted)</w:t>
            </w:r>
          </w:p>
        </w:tc>
        <w:tc>
          <w:tcPr>
            <w:tcW w:type="dxa" w:w="4320"/>
          </w:tcPr>
          <w:p>
            <w:r>
              <w:t>+9.78%</w:t>
            </w:r>
          </w:p>
        </w:tc>
      </w:tr>
      <w:tr>
        <w:tc>
          <w:tcPr>
            <w:tcW w:type="dxa" w:w="4320"/>
          </w:tcPr>
          <w:p>
            <w:r>
              <w:t>Title-clustered 95% CI (2,000-iter title bootstrap)</w:t>
            </w:r>
          </w:p>
        </w:tc>
        <w:tc>
          <w:tcPr>
            <w:tcW w:type="dxa" w:w="4320"/>
          </w:tcPr>
          <w:p>
            <w:r>
              <w:t>[+5.22%, +8.49%]</w:t>
            </w:r>
          </w:p>
        </w:tc>
      </w:tr>
      <w:tr>
        <w:tc>
          <w:tcPr>
            <w:tcW w:type="dxa" w:w="4320"/>
          </w:tcPr>
          <w:p>
            <w:r>
              <w:t>Device-level CI (for contrast)</w:t>
            </w:r>
          </w:p>
        </w:tc>
        <w:tc>
          <w:tcPr>
            <w:tcW w:type="dxa" w:w="4320"/>
          </w:tcPr>
          <w:p>
            <w:r>
              <w:t>[+6.21%, +7.58%]</w:t>
            </w:r>
          </w:p>
        </w:tc>
      </w:tr>
    </w:tbl>
    <w:p>
      <w:r>
        <w:t>The title-clustered CI is wider than the device CI (reflects title-draw variance) but comfortably positive. The poststratified projection (+9.78%) sits above the naive sample lift because the full mobile universe carries more TVT in the sparse, high-lift low-density deciles than the sample does.</w:t>
      </w:r>
    </w:p>
    <w:p>
      <w:pPr>
        <w:pStyle w:val="Heading2"/>
      </w:pPr>
      <w:r>
        <w:t>2d. Global (topline, mobile-scoped) lift if ABF3 graduates on all mobile ABF1 titles</w:t>
      </w:r>
    </w:p>
    <w:p>
      <w:r>
        <w:t xml:space="preserve">Notebook: </w:t>
      </w:r>
      <w:r>
        <w:rPr>
          <w:rFonts w:ascii="Courier New" w:hAnsi="Courier New"/>
        </w:rPr>
        <w:t>global_graduation_projection</w:t>
      </w:r>
      <w:r>
        <w:t xml:space="preserve">, </w:t>
      </w:r>
      <w:r>
        <w:rPr>
          <w:rFonts w:ascii="Courier New" w:hAnsi="Courier New"/>
        </w:rPr>
        <w:t>PLATFORM_TYPE='MOBILE'</w:t>
      </w:r>
      <w:r>
        <w:t>. Global lift = Σ_decile(decile_rev_lift × decile_revenue_in_full_universe) / total_mobile_revenue (revenue-weighted poststratification; non-watchers sit in denominator with zero numerator).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Mobile ABF1 revenue share of total mobile (14d pre-launch)</w:t>
            </w:r>
          </w:p>
        </w:tc>
        <w:tc>
          <w:tcPr>
            <w:tcW w:type="dxa" w:w="4320"/>
          </w:tcPr>
          <w:p>
            <w:r>
              <w:t>38.97%</w:t>
            </w:r>
          </w:p>
        </w:tc>
      </w:tr>
      <w:tr>
        <w:tc>
          <w:tcPr>
            <w:tcW w:type="dxa" w:w="4320"/>
          </w:tcPr>
          <w:p>
            <w:r>
              <w:t>Mobile ABF1 TVT share of total mobile</w:t>
            </w:r>
          </w:p>
        </w:tc>
        <w:tc>
          <w:tcPr>
            <w:tcW w:type="dxa" w:w="4320"/>
          </w:tcPr>
          <w:p>
            <w:r>
              <w:t>40.76%</w:t>
            </w:r>
          </w:p>
        </w:tc>
      </w:tr>
      <w:tr>
        <w:tc>
          <w:tcPr>
            <w:tcW w:type="dxa" w:w="4320"/>
          </w:tcPr>
          <w:p>
            <w:r>
              <w:t>Mobile device exposure (watch ≥1 ABF1 title)</w:t>
            </w:r>
          </w:p>
        </w:tc>
        <w:tc>
          <w:tcPr>
            <w:tcW w:type="dxa" w:w="4320"/>
          </w:tcPr>
          <w:p>
            <w:r>
              <w:t>68.41% (6.79M / 9.93M)</w:t>
            </w:r>
          </w:p>
        </w:tc>
      </w:tr>
      <w:tr>
        <w:tc>
          <w:tcPr>
            <w:tcW w:type="dxa" w:w="4320"/>
          </w:tcPr>
          <w:p>
            <w:r>
              <w:t>ABF1-wide revenue lift (rev-weighted)</w:t>
            </w:r>
          </w:p>
        </w:tc>
        <w:tc>
          <w:tcPr>
            <w:tcW w:type="dxa" w:w="4320"/>
          </w:tcPr>
          <w:p>
            <w:r>
              <w:t>+8.19%</w:t>
            </w:r>
          </w:p>
        </w:tc>
      </w:tr>
      <w:tr>
        <w:tc>
          <w:tcPr>
            <w:tcW w:type="dxa" w:w="4320"/>
          </w:tcPr>
          <w:p>
            <w:r>
              <w:t>➡ GLOBAL mobile unbudgeted-revenue lift</w:t>
            </w:r>
          </w:p>
        </w:tc>
        <w:tc>
          <w:tcPr>
            <w:tcW w:type="dxa" w:w="4320"/>
          </w:tcPr>
          <w:p>
            <w:r>
              <w:t>+3.19% (CI [+2.45%, +3.94%])</w:t>
            </w:r>
          </w:p>
        </w:tc>
      </w:tr>
    </w:tbl>
    <w:p>
      <w:pPr>
        <w:pStyle w:val="Heading2"/>
      </w:pPr>
      <w:r>
        <w:t>2e. Global (mobile-scoped) TVT impact of graduating — two estimates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Computation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Global mobile TVT lift</w:t>
            </w:r>
          </w:p>
        </w:tc>
      </w:tr>
      <w:tr>
        <w:tc>
          <w:tcPr>
            <w:tcW w:type="dxa" w:w="2880"/>
          </w:tcPr>
          <w:p>
            <w:r>
              <w:t>On-title dilution (no spillover)</w:t>
            </w:r>
          </w:p>
        </w:tc>
        <w:tc>
          <w:tcPr>
            <w:tcW w:type="dxa" w:w="2880"/>
          </w:tcPr>
          <w:p>
            <w:r>
              <w:t>per-decile TVT lift × ABF1 TVT share</w:t>
            </w:r>
          </w:p>
        </w:tc>
        <w:tc>
          <w:tcPr>
            <w:tcW w:type="dxa" w:w="2880"/>
          </w:tcPr>
          <w:p>
            <w:r>
              <w:t>−0.34%</w:t>
            </w:r>
          </w:p>
        </w:tc>
      </w:tr>
      <w:tr>
        <w:tc>
          <w:tcPr>
            <w:tcW w:type="dxa" w:w="2880"/>
          </w:tcPr>
          <w:p>
            <w:r>
              <w:t>Coverage-scaling (with spillover)</w:t>
            </w:r>
          </w:p>
        </w:tc>
        <w:tc>
          <w:tcPr>
            <w:tcW w:type="dxa" w:w="2880"/>
          </w:tcPr>
          <w:p>
            <w:r>
              <w:t>ITT all-titles TVT −0.27% × (40.76% / 15.55%)</w:t>
            </w:r>
          </w:p>
        </w:tc>
        <w:tc>
          <w:tcPr>
            <w:tcW w:type="dxa" w:w="2880"/>
          </w:tcPr>
          <w:p>
            <w:r>
              <w:t>−0.70%</w:t>
            </w:r>
          </w:p>
        </w:tc>
      </w:tr>
    </w:tbl>
    <w:p>
      <w:r>
        <w:t xml:space="preserve">The </w:t>
      </w:r>
      <w:r>
        <w:rPr>
          <w:b/>
        </w:rPr>
        <w:t>−0.70% end is more realistic on mobile</w:t>
      </w:r>
      <w:r>
        <w:t xml:space="preserve">: the all-titles TVT decline (ITT −0.27%) is larger than on-ABF1-title losses scaled by coverage would predict under no-spillover, indicating added ABF1 ad breaks modestly suppress *total* mobile watch time, not merely shift it. This is the main item to weigh against the +3.2% revenue gain. </w:t>
      </w:r>
      <w:r>
        <w:rPr>
          <w:b/>
        </w:rPr>
        <w:t>Caveat:</w:t>
      </w:r>
      <w:r>
        <w:t xml:space="preserve"> coverage-scaling assumes substitution intensity holds as coverage grows from 1,084 to ~492K titles.</w:t>
      </w:r>
    </w:p>
    <w:p>
      <w:pPr>
        <w:pStyle w:val="Heading1"/>
      </w:pPr>
      <w:r>
        <w:t>3. Conclusion</w:t>
      </w:r>
    </w:p>
    <w:p>
      <w:r>
        <w:t xml:space="preserve">Graduating ABF3 on all mobile ABF1 titles via the random sample is well-supported on revenue: on-ABF1-title lift projects to </w:t>
      </w:r>
      <w:r>
        <w:rPr>
          <w:b/>
        </w:rPr>
        <w:t>~+8.2%</w:t>
      </w:r>
      <w:r>
        <w:t xml:space="preserve"> (revenue-weighted), title-clustered CI [+5.22%, +8.49%], diluted to </w:t>
      </w:r>
      <w:r>
        <w:rPr>
          <w:b/>
        </w:rPr>
        <w:t>~+3.19% global mobile revenue</w:t>
      </w:r>
      <w:r>
        <w:t xml:space="preserve"> (CI [+2.45%, +3.94%]).</w:t>
      </w:r>
    </w:p>
    <w:p>
      <w:r>
        <w:t xml:space="preserve">The </w:t>
      </w:r>
      <w:r>
        <w:rPr>
          <w:b/>
        </w:rPr>
        <w:t>mobile-specific concern is TVT</w:t>
      </w:r>
      <w:r>
        <w:t xml:space="preserve">: a significant </w:t>
      </w:r>
      <w:r>
        <w:rPr>
          <w:b/>
        </w:rPr>
        <w:t>−0.90%</w:t>
      </w:r>
      <w:r>
        <w:t xml:space="preserve"> on experiment titles and a global mobile estimate of </w:t>
      </w:r>
      <w:r>
        <w:rPr>
          <w:b/>
        </w:rPr>
        <w:t>−0.34% to −0.70%</w:t>
      </w:r>
      <w:r>
        <w:t xml:space="preserve"> — materially larger than OTT (−0.05% to −0.40%) and web (neutral). The graduation trade on mobile is </w:t>
      </w:r>
      <w:r>
        <w:rPr>
          <w:b/>
        </w:rPr>
        <w:t>~+3.2% global revenue for ~−0.4% to −0.7% global TVT</w:t>
      </w:r>
      <w:r>
        <w:t xml:space="preserve">. Whether acceptable needs a stakeholder-agreed threshold; the formal gate is </w:t>
      </w:r>
      <w:r>
        <w:rPr>
          <w:rFonts w:ascii="Courier New" w:hAnsi="Courier New"/>
        </w:rPr>
        <w:t>me_score</w:t>
      </w:r>
      <w:r>
        <w:t xml:space="preserve"> (offline).</w:t>
      </w:r>
    </w:p>
    <w:p>
      <w:pPr>
        <w:pStyle w:val="Heading1"/>
      </w:pPr>
      <w:r>
        <w:t>4. Caveats</w:t>
      </w:r>
    </w:p>
    <w:p>
      <w:pPr>
        <w:pStyle w:val="ListBullet"/>
      </w:pPr>
      <w:r/>
      <w:r>
        <w:rPr>
          <w:b/>
        </w:rPr>
        <w:t>Residual quantity confound:</w:t>
      </w:r>
      <w:r>
        <w:t xml:space="preserve"> ABF3 (pruned to ABF2 density) serves more breaks than the sparse ABF1 baseline, so the revenue lift includes a quantity component, not pure positioning quality. The significant TVT declines are consistent with that extra ad load costing engagement — and mobile shows the largest such cost of the three platforms.</w:t>
      </w:r>
    </w:p>
    <w:p>
      <w:pPr>
        <w:pStyle w:val="ListBullet"/>
      </w:pPr>
      <w:r/>
      <w:r>
        <w:rPr>
          <w:b/>
        </w:rPr>
        <w:t>Global TVT spans ~2×</w:t>
      </w:r>
      <w:r>
        <w:t xml:space="preserve"> (−0.34% to −0.70%): spillover-inclusive coverage-scaling assumes substitution intensity holds as coverage expands.</w:t>
      </w:r>
    </w:p>
    <w:p>
      <w:pPr>
        <w:pStyle w:val="ListBullet"/>
      </w:pPr>
      <w:r/>
      <w:r>
        <w:rPr>
          <w:b/>
        </w:rPr>
        <w:t>Sample skews dense/long even TVT-weighted</w:t>
      </w:r>
      <w:r>
        <w:t xml:space="preserve"> (~15–30% higher): mitigated by poststratification, which assumes per-decile lift is stable within a decile across sample and population.</w:t>
      </w:r>
    </w:p>
    <w:p>
      <w:pPr>
        <w:pStyle w:val="ListBullet"/>
      </w:pPr>
      <w:r/>
      <w:r>
        <w:rPr>
          <w:b/>
        </w:rPr>
        <w:t>Single time window:</w:t>
      </w:r>
      <w:r>
        <w:t xml:space="preserve"> complete days 2026-05-27 → 06-04; early-window estimates can move with runtime.</w:t>
      </w:r>
    </w:p>
    <w:p>
      <w:pPr>
        <w:pStyle w:val="ListBullet"/>
      </w:pPr>
      <w:r/>
      <w:r>
        <w:rPr>
          <w:b/>
        </w:rPr>
        <w:t>Per-title lift basis</w:t>
      </w:r>
      <w:r>
        <w:t xml:space="preserve"> uses titles with control mean revenue &gt; 0 (1,081 / 1,084).</w:t>
      </w:r>
    </w:p>
    <w:p>
      <w:pPr>
        <w:pStyle w:val="ListBullet"/>
      </w:pPr>
      <w:r/>
      <w:r>
        <w:rPr>
          <w:b/>
        </w:rPr>
        <w:t>No raw ad-break-density diagnostic</w:t>
      </w:r>
      <w:r>
        <w:t xml:space="preserve"> was run for mobile (not part of the 6-notebook suite); the +7.88% impression lift on flat-to-negative TVT implies a higher realized break rate, consistent with the OTT density finding.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