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(Mobile)</w:t>
      </w:r>
    </w:p>
    <w:p>
      <w:pPr/>
      <w:r>
        <w:rPr>
          <w:b/>
        </w:rPr>
        <w:t>Experiment:</w:t>
      </w:r>
      <w:r>
        <w:t xml:space="preserve"> `ads_mobile_abf_3_v10_abf2_titles_only` (Mobile)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2026-10-19 (complete days). Outcomes are capped at 2026-10-20 00:00 UTC; the exposures table is loaded through the end of 2026-10-19 (2026-10-20 is a partial day and is excluded). Same window as the refreshed OTT report. This is an early read of a live test, not a graduation read, and it has not been re-reconciled with a Statsig scorecard.</w:t>
      </w:r>
    </w:p>
    <w:p>
      <w:pPr/>
      <w:r>
        <w:rPr>
          <w:b/>
        </w:rPr>
        <w:t>Method:</w:t>
      </w:r>
      <w:r>
        <w:t xml:space="preserve"> device-level CUPED, pre-period 2026-09-25 → 2026-10-08, Welch 95% intervals. ~3.31M devices/arm (ITT). Revenue is reported three ways — total (all billable ads), budgeted (direct, guaranteed, PMP), and unbudgeted (open auction, the v8 metric) — plus ad impressions and TVT. Same queries and definitions as the OTT report (Appendix C), run on the mobile experiment's exposures. Report date 2026-10-20.</w:t>
      </w:r>
    </w:p>
    <w:p>
      <w:pPr/>
      <w:r>
        <w:rPr>
          <w:b/>
        </w:rPr>
        <w:t>Refresh (2026-10-20):</w:t>
      </w:r>
      <w:r>
        <w:t xml:space="preserve"> Window extended from the end of 2026-10-18 to the end of 2026-10-19 (every complete day loaded in the exposures table); ITT devices/arm 3.07M → 3.31M. **Title set corrected:** the on-title, ToT, band, type and below-control tables now use the 224,739 targeted titles (`ml_dev.tmp.abf3_v10_targeted_titles`, the titles served v10 cue points) instead of the 299k live ABF2 catalog, which included about 74.5k titles that carry identical cues in every arm and so diluted every on-title and band lift. On-title ITT unbudgeted revenue, previous version → now (title set and window both changed): v4 −2.457% → −3.006%; v5b +1.893% → +2.431%; v6 −1.365% → −1.569%. Global ITT total revenue, previous version → now: v4 −1.642% → −1.660%; v5b +0.710% → +0.676%; v6 −1.264% → −1.277%. TVT: v4 +0.029% → +0.058%; v5b −0.397% → −0.422%; v6 −0.219% → −0.197%. No global ITT significance call changed. All tables, the band/type/below-control cuts, the gate replay and the viewing-depth numbers below were re-run.</w:t>
      </w:r>
    </w:p>
    <w:p>
      <w:pPr>
        <w:pStyle w:val="Heading1"/>
      </w:pPr>
      <w:r>
        <w:t>TL;DR</w:t>
      </w:r>
    </w:p>
    <w:p>
      <w:pPr>
        <w:pStyle w:val="ListBullet"/>
      </w:pPr>
      <w:r>
        <w:rPr>
          <w:b/>
        </w:rPr>
        <w:t>Only v5b wins on mobile.</w:t>
      </w:r>
      <w:r>
        <w:t xml:space="preserve"> v5b lifts total revenue +0.676% sig and impressions +0.778% sig; on the treated ABF2 titles its open-auction revenue is +2.431% sig. Its TVT is −0.422% sig globally (Active −0.41% sig, ToT −0.51% sig) — a small but now nominally significant engagement cost, the item to weigh.</w:t>
      </w:r>
    </w:p>
    <w:p>
      <w:pPr>
        <w:pStyle w:val="ListBullet"/>
      </w:pPr>
      <w:r>
        <w:rPr>
          <w:b/>
        </w:rPr>
        <w:t>v4 and v6 lose significantly — unlike OTT.</w:t>
      </w:r>
      <w:r>
        <w:t xml:space="preserve"> Total revenue v4 −1.660% sig, v6 −1.277% sig; every revenue and impression pool is down for both, and TVT is flat (v4 +0.06% ns, v6 −0.20% ns). On OTT v6 is a safe positive (+0.529% sig); on mobile it is not.</w:t>
      </w:r>
    </w:p>
    <w:p>
      <w:pPr>
        <w:pStyle w:val="ListBullet"/>
      </w:pPr>
      <w:r>
        <w:rPr>
          <w:b/>
        </w:rPr>
        <w:t>Episodes drive the split.</w:t>
      </w:r>
      <w:r>
        <w:t xml:space="preserve"> Episode open-auction revenue: v4 −5.91% sig, v6 −6.79% sig, v5b +2.65% sig. Movies gain on v6 (+3.81% sig) and v5b (+2.26% sig); v4 is +0.50% ns. The episode loss for v4/v6 is concentrated in the sparse 1–3 and 4–6 bands, where v4 serves fewer cue points than ABF2 on 49.3% / 57.3% of episode titles and places the first cue ~3.5 min later than ABF2.</w:t>
      </w:r>
    </w:p>
    <w:p>
      <w:pPr>
        <w:pStyle w:val="ListBullet"/>
      </w:pPr>
      <w:r>
        <w:rPr>
          <w:b/>
        </w:rPr>
        <w:t>The below-control defect replicates.</w:t>
      </w:r>
      <w:r>
        <w:t xml:space="preserve"> Dense titles served below their ABF2 count lose revenue on v4 and v6 (v4 10–12 −7.12% sig, v6 10–12 −6.43% sig), and titles kept at or above control gain (v6 10–12 +6.73% sig). The per-title floor applies to mobile too.</w:t>
      </w:r>
    </w:p>
    <w:p>
      <w:pPr>
        <w:pStyle w:val="ListBullet"/>
      </w:pPr>
      <w:r>
        <w:rPr>
          <w:b/>
        </w:rPr>
        <w:t>TVT: only v5b moves, and only slightly.</w:t>
      </w:r>
      <w:r>
        <w:t xml:space="preserve"> Global TVT is −0.422% sig for v5b and flat for v4/v6. Locally, v5b and v6 lose TVT on 13+ titles (−0.66% ns, −0.84% sig); on-title TVT is not significant for any arm; by viewer type only v5b power viewers (−0.74% sig) is significant.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−1.660% [−2.038, −1.282] sig</w:t>
            </w:r>
          </w:p>
        </w:tc>
        <w:tc>
          <w:tcPr>
            <w:tcW w:type="dxa" w:w="1440"/>
          </w:tcPr>
          <w:p>
            <w:r>
              <w:t>−1.910% sig</w:t>
            </w:r>
          </w:p>
        </w:tc>
        <w:tc>
          <w:tcPr>
            <w:tcW w:type="dxa" w:w="1440"/>
          </w:tcPr>
          <w:p>
            <w:r>
              <w:t>−1.349% sig</w:t>
            </w:r>
          </w:p>
        </w:tc>
        <w:tc>
          <w:tcPr>
            <w:tcW w:type="dxa" w:w="1440"/>
          </w:tcPr>
          <w:p>
            <w:r>
              <w:t>−1.718% sig</w:t>
            </w:r>
          </w:p>
        </w:tc>
        <w:tc>
          <w:tcPr>
            <w:tcW w:type="dxa" w:w="1440"/>
          </w:tcPr>
          <w:p>
            <w:r>
              <w:t>+0.058% ns</w:t>
            </w:r>
          </w:p>
        </w:tc>
      </w:tr>
      <w:tr>
        <w:tc>
          <w:tcPr>
            <w:tcW w:type="dxa" w:w="1440"/>
          </w:tcPr>
          <w:p>
            <w:r>
              <w:t>v5b (ABF2 density, gate-aware placement)</w:t>
            </w:r>
          </w:p>
        </w:tc>
        <w:tc>
          <w:tcPr>
            <w:tcW w:type="dxa" w:w="1440"/>
          </w:tcPr>
          <w:p>
            <w:r>
              <w:t>+0.676% [+0.295, +1.058] sig</w:t>
            </w:r>
          </w:p>
        </w:tc>
        <w:tc>
          <w:tcPr>
            <w:tcW w:type="dxa" w:w="1440"/>
          </w:tcPr>
          <w:p>
            <w:r>
              <w:t>+0.887% sig</w:t>
            </w:r>
          </w:p>
        </w:tc>
        <w:tc>
          <w:tcPr>
            <w:tcW w:type="dxa" w:w="1440"/>
          </w:tcPr>
          <w:p>
            <w:r>
              <w:t>+0.403% ns</w:t>
            </w:r>
          </w:p>
        </w:tc>
        <w:tc>
          <w:tcPr>
            <w:tcW w:type="dxa" w:w="1440"/>
          </w:tcPr>
          <w:p>
            <w:r>
              <w:t>+0.778% sig</w:t>
            </w:r>
          </w:p>
        </w:tc>
        <w:tc>
          <w:tcPr>
            <w:tcW w:type="dxa" w:w="1440"/>
          </w:tcPr>
          <w:p>
            <w:r>
              <w:t>−0.422% sig</w:t>
            </w:r>
          </w:p>
        </w:tc>
      </w:tr>
      <w:tr>
        <w:tc>
          <w:tcPr>
            <w:tcW w:type="dxa" w:w="1440"/>
          </w:tcPr>
          <w:p>
            <w:r>
              <w:t>v6 (movies 60–120 min, +7% load)</w:t>
            </w:r>
          </w:p>
        </w:tc>
        <w:tc>
          <w:tcPr>
            <w:tcW w:type="dxa" w:w="1440"/>
          </w:tcPr>
          <w:p>
            <w:r>
              <w:t>−1.277% [−1.654, −0.900] sig</w:t>
            </w:r>
          </w:p>
        </w:tc>
        <w:tc>
          <w:tcPr>
            <w:tcW w:type="dxa" w:w="1440"/>
          </w:tcPr>
          <w:p>
            <w:r>
              <w:t>−1.420% sig</w:t>
            </w:r>
          </w:p>
        </w:tc>
        <w:tc>
          <w:tcPr>
            <w:tcW w:type="dxa" w:w="1440"/>
          </w:tcPr>
          <w:p>
            <w:r>
              <w:t>−1.019% sig</w:t>
            </w:r>
          </w:p>
        </w:tc>
        <w:tc>
          <w:tcPr>
            <w:tcW w:type="dxa" w:w="1440"/>
          </w:tcPr>
          <w:p>
            <w:r>
              <w:t>−1.327% sig</w:t>
            </w:r>
          </w:p>
        </w:tc>
        <w:tc>
          <w:tcPr>
            <w:tcW w:type="dxa" w:w="1440"/>
          </w:tcPr>
          <w:p>
            <w:r>
              <w:t>−0.197% ns</w:t>
            </w:r>
          </w:p>
        </w:tc>
      </w:tr>
    </w:tbl>
    <w:p/>
    <w:p>
      <w:pPr/>
      <w:r>
        <w:t>All figures are global ITT CUPED lifts versus Control. Direction is stable across ITT, Active, and ToT. Significance calls are nominal 95% (not adjusted for sequential looks or three arms); the Statsig scorecard widened intervals ~1.8× on the 10-15 OTT read, which would make v5b's mobile TVT dip not significant and leave its total-revenue gain borderline (approximation, not re-checked against Statsig for this window).</w:t>
      </w:r>
    </w:p>
    <w:p>
      <w:pPr>
        <w:pStyle w:val="Heading1"/>
      </w:pPr>
      <w:r>
        <w:t>1. Headline (2026-10-09 → 2026-10-19)</w:t>
      </w:r>
    </w:p>
    <w:p>
      <w:pPr/>
      <w:r>
        <w:t>All figures are CUPED lifts versus Control, 95% intervals. Global is across every title an exposed device watched. On-title is the same devices, restricted to the 224,739 targeted titles — the ABF2-catalog titles served v10 cue points. ToT is defined on the same set.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−1.660% [−2.038, −1.282] sig</w:t>
            </w:r>
          </w:p>
        </w:tc>
        <w:tc>
          <w:tcPr>
            <w:tcW w:type="dxa" w:w="1728"/>
          </w:tcPr>
          <w:p>
            <w:r>
              <w:t>−1.910% [−2.291, −1.529] sig</w:t>
            </w:r>
          </w:p>
        </w:tc>
        <w:tc>
          <w:tcPr>
            <w:tcW w:type="dxa" w:w="1728"/>
          </w:tcPr>
          <w:p>
            <w:r>
              <w:t>−1.349% [−1.812, −0.887] sig</w:t>
            </w:r>
          </w:p>
        </w:tc>
        <w:tc>
          <w:tcPr>
            <w:tcW w:type="dxa" w:w="1728"/>
          </w:tcPr>
          <w:p>
            <w:r>
              <w:t>−1.718% [−2.080, −1.355] sig</w:t>
            </w:r>
          </w:p>
        </w:tc>
      </w:tr>
      <w:tr>
        <w:tc>
          <w:tcPr>
            <w:tcW w:type="dxa" w:w="1728"/>
          </w:tcPr>
          <w:p>
            <w:r>
              <w:t>v5b</w:t>
            </w:r>
          </w:p>
        </w:tc>
        <w:tc>
          <w:tcPr>
            <w:tcW w:type="dxa" w:w="1728"/>
          </w:tcPr>
          <w:p>
            <w:r>
              <w:t>+0.676% [+0.295, +1.058] sig</w:t>
            </w:r>
          </w:p>
        </w:tc>
        <w:tc>
          <w:tcPr>
            <w:tcW w:type="dxa" w:w="1728"/>
          </w:tcPr>
          <w:p>
            <w:r>
              <w:t>+0.887% [+0.501, +1.274] sig</w:t>
            </w:r>
          </w:p>
        </w:tc>
        <w:tc>
          <w:tcPr>
            <w:tcW w:type="dxa" w:w="1728"/>
          </w:tcPr>
          <w:p>
            <w:r>
              <w:t>+0.403% [−0.062, +0.869] ns</w:t>
            </w:r>
          </w:p>
        </w:tc>
        <w:tc>
          <w:tcPr>
            <w:tcW w:type="dxa" w:w="1728"/>
          </w:tcPr>
          <w:p>
            <w:r>
              <w:t>+0.778% [+0.411, +1.144] sig</w:t>
            </w:r>
          </w:p>
        </w:tc>
      </w:tr>
      <w:tr>
        <w:tc>
          <w:tcPr>
            <w:tcW w:type="dxa" w:w="1728"/>
          </w:tcPr>
          <w:p>
            <w:r>
              <w:t>v6</w:t>
            </w:r>
          </w:p>
        </w:tc>
        <w:tc>
          <w:tcPr>
            <w:tcW w:type="dxa" w:w="1728"/>
          </w:tcPr>
          <w:p>
            <w:r>
              <w:t>−1.277% [−1.654, −0.900] sig</w:t>
            </w:r>
          </w:p>
        </w:tc>
        <w:tc>
          <w:tcPr>
            <w:tcW w:type="dxa" w:w="1728"/>
          </w:tcPr>
          <w:p>
            <w:r>
              <w:t>−1.420% [−1.801, −1.040] sig</w:t>
            </w:r>
          </w:p>
        </w:tc>
        <w:tc>
          <w:tcPr>
            <w:tcW w:type="dxa" w:w="1728"/>
          </w:tcPr>
          <w:p>
            <w:r>
              <w:t>−1.019% [−1.481, −0.558] sig</w:t>
            </w:r>
          </w:p>
        </w:tc>
        <w:tc>
          <w:tcPr>
            <w:tcW w:type="dxa" w:w="1728"/>
          </w:tcPr>
          <w:p>
            <w:r>
              <w:t>−1.327% [−1.688, −0.965] sig</w:t>
            </w:r>
          </w:p>
        </w:tc>
      </w:tr>
    </w:tbl>
    <w:p/>
    <w:p>
      <w:pPr/>
      <w:r>
        <w:t>Control per-device means: total revenue 0.162, budgeted 0.071, all-ad impressions 18.6; ITT n/arm ≈ 3.31M. Unlike OTT, the mobile money table is a clean split: v5b is up in every pool (budgeted +0.887% sig; unbudgeted +0.403% ns, positive but its interval just includes zero), while v4 and v6 lose in every pool (budgeted −1.910% sig / −1.420% sig; unbudgeted −1.349% sig / −1.019% sig). Revenue tracks impressions closely in every arm, so this is an ad-delivery effect, not a price effect.</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3,301,467</w:t>
            </w:r>
          </w:p>
        </w:tc>
        <w:tc>
          <w:tcPr>
            <w:tcW w:type="dxa" w:w="1440"/>
          </w:tcPr>
          <w:p>
            <w:r>
              <w:t>−1.349% [−1.812, −0.887] sig</w:t>
            </w:r>
          </w:p>
        </w:tc>
        <w:tc>
          <w:tcPr>
            <w:tcW w:type="dxa" w:w="1440"/>
          </w:tcPr>
          <w:p>
            <w:r>
              <w:t>−1.373% [−1.808, −0.938] sig</w:t>
            </w:r>
          </w:p>
        </w:tc>
        <w:tc>
          <w:tcPr>
            <w:tcW w:type="dxa" w:w="1440"/>
          </w:tcPr>
          <w:p>
            <w:r>
              <w:t>+0.058% [−0.301, +0.417] ns</w:t>
            </w:r>
          </w:p>
        </w:tc>
      </w:tr>
      <w:tr>
        <w:tc>
          <w:tcPr>
            <w:tcW w:type="dxa" w:w="1440"/>
          </w:tcPr>
          <w:p>
            <w:r>
              <w:t>ITT</w:t>
            </w:r>
          </w:p>
        </w:tc>
        <w:tc>
          <w:tcPr>
            <w:tcW w:type="dxa" w:w="1440"/>
          </w:tcPr>
          <w:p>
            <w:r>
              <w:t>v5b</w:t>
            </w:r>
          </w:p>
        </w:tc>
        <w:tc>
          <w:tcPr>
            <w:tcW w:type="dxa" w:w="1440"/>
          </w:tcPr>
          <w:p>
            <w:r>
              <w:t>3,303,775</w:t>
            </w:r>
          </w:p>
        </w:tc>
        <w:tc>
          <w:tcPr>
            <w:tcW w:type="dxa" w:w="1440"/>
          </w:tcPr>
          <w:p>
            <w:r>
              <w:t>+0.403% [−0.062, +0.869] ns</w:t>
            </w:r>
          </w:p>
        </w:tc>
        <w:tc>
          <w:tcPr>
            <w:tcW w:type="dxa" w:w="1440"/>
          </w:tcPr>
          <w:p>
            <w:r>
              <w:t>+0.634% [+0.196, +1.073] sig</w:t>
            </w:r>
          </w:p>
        </w:tc>
        <w:tc>
          <w:tcPr>
            <w:tcW w:type="dxa" w:w="1440"/>
          </w:tcPr>
          <w:p>
            <w:r>
              <w:t>−0.422% [−0.780, −0.064] sig</w:t>
            </w:r>
          </w:p>
        </w:tc>
      </w:tr>
      <w:tr>
        <w:tc>
          <w:tcPr>
            <w:tcW w:type="dxa" w:w="1440"/>
          </w:tcPr>
          <w:p>
            <w:r>
              <w:t>ITT</w:t>
            </w:r>
          </w:p>
        </w:tc>
        <w:tc>
          <w:tcPr>
            <w:tcW w:type="dxa" w:w="1440"/>
          </w:tcPr>
          <w:p>
            <w:r>
              <w:t>v6</w:t>
            </w:r>
          </w:p>
        </w:tc>
        <w:tc>
          <w:tcPr>
            <w:tcW w:type="dxa" w:w="1440"/>
          </w:tcPr>
          <w:p>
            <w:r>
              <w:t>3,307,057</w:t>
            </w:r>
          </w:p>
        </w:tc>
        <w:tc>
          <w:tcPr>
            <w:tcW w:type="dxa" w:w="1440"/>
          </w:tcPr>
          <w:p>
            <w:r>
              <w:t>−1.019% [−1.481, −0.558] sig</w:t>
            </w:r>
          </w:p>
        </w:tc>
        <w:tc>
          <w:tcPr>
            <w:tcW w:type="dxa" w:w="1440"/>
          </w:tcPr>
          <w:p>
            <w:r>
              <w:t>−1.139% [−1.572, −0.705] sig</w:t>
            </w:r>
          </w:p>
        </w:tc>
        <w:tc>
          <w:tcPr>
            <w:tcW w:type="dxa" w:w="1440"/>
          </w:tcPr>
          <w:p>
            <w:r>
              <w:t>−0.197% [−0.555, +0.160] ns</w:t>
            </w:r>
          </w:p>
        </w:tc>
      </w:tr>
      <w:tr>
        <w:tc>
          <w:tcPr>
            <w:tcW w:type="dxa" w:w="1440"/>
          </w:tcPr>
          <w:p>
            <w:r>
              <w:t>Active</w:t>
            </w:r>
          </w:p>
        </w:tc>
        <w:tc>
          <w:tcPr>
            <w:tcW w:type="dxa" w:w="1440"/>
          </w:tcPr>
          <w:p>
            <w:r>
              <w:t>v4</w:t>
            </w:r>
          </w:p>
        </w:tc>
        <w:tc>
          <w:tcPr>
            <w:tcW w:type="dxa" w:w="1440"/>
          </w:tcPr>
          <w:p>
            <w:r>
              <w:t>1,849,245</w:t>
            </w:r>
          </w:p>
        </w:tc>
        <w:tc>
          <w:tcPr>
            <w:tcW w:type="dxa" w:w="1440"/>
          </w:tcPr>
          <w:p>
            <w:r>
              <w:t>−1.354% [−1.808, −0.899] sig</w:t>
            </w:r>
          </w:p>
        </w:tc>
        <w:tc>
          <w:tcPr>
            <w:tcW w:type="dxa" w:w="1440"/>
          </w:tcPr>
          <w:p>
            <w:r>
              <w:t>−1.375% [−1.802, −0.947] sig</w:t>
            </w:r>
          </w:p>
        </w:tc>
        <w:tc>
          <w:tcPr>
            <w:tcW w:type="dxa" w:w="1440"/>
          </w:tcPr>
          <w:p>
            <w:r>
              <w:t>+0.071% [−0.279, +0.422] ns</w:t>
            </w:r>
          </w:p>
        </w:tc>
      </w:tr>
      <w:tr>
        <w:tc>
          <w:tcPr>
            <w:tcW w:type="dxa" w:w="1440"/>
          </w:tcPr>
          <w:p>
            <w:r>
              <w:t>Active</w:t>
            </w:r>
          </w:p>
        </w:tc>
        <w:tc>
          <w:tcPr>
            <w:tcW w:type="dxa" w:w="1440"/>
          </w:tcPr>
          <w:p>
            <w:r>
              <w:t>v5b</w:t>
            </w:r>
          </w:p>
        </w:tc>
        <w:tc>
          <w:tcPr>
            <w:tcW w:type="dxa" w:w="1440"/>
          </w:tcPr>
          <w:p>
            <w:r>
              <w:t>1,849,482</w:t>
            </w:r>
          </w:p>
        </w:tc>
        <w:tc>
          <w:tcPr>
            <w:tcW w:type="dxa" w:w="1440"/>
          </w:tcPr>
          <w:p>
            <w:r>
              <w:t>+0.389% [−0.069, +0.847] ns</w:t>
            </w:r>
          </w:p>
        </w:tc>
        <w:tc>
          <w:tcPr>
            <w:tcW w:type="dxa" w:w="1440"/>
          </w:tcPr>
          <w:p>
            <w:r>
              <w:t>+0.618% [+0.187, +1.049] sig</w:t>
            </w:r>
          </w:p>
        </w:tc>
        <w:tc>
          <w:tcPr>
            <w:tcW w:type="dxa" w:w="1440"/>
          </w:tcPr>
          <w:p>
            <w:r>
              <w:t>−0.412% [−0.762, −0.062] sig</w:t>
            </w:r>
          </w:p>
        </w:tc>
      </w:tr>
      <w:tr>
        <w:tc>
          <w:tcPr>
            <w:tcW w:type="dxa" w:w="1440"/>
          </w:tcPr>
          <w:p>
            <w:r>
              <w:t>Active</w:t>
            </w:r>
          </w:p>
        </w:tc>
        <w:tc>
          <w:tcPr>
            <w:tcW w:type="dxa" w:w="1440"/>
          </w:tcPr>
          <w:p>
            <w:r>
              <w:t>v6</w:t>
            </w:r>
          </w:p>
        </w:tc>
        <w:tc>
          <w:tcPr>
            <w:tcW w:type="dxa" w:w="1440"/>
          </w:tcPr>
          <w:p>
            <w:r>
              <w:t>1,852,872</w:t>
            </w:r>
          </w:p>
        </w:tc>
        <w:tc>
          <w:tcPr>
            <w:tcW w:type="dxa" w:w="1440"/>
          </w:tcPr>
          <w:p>
            <w:r>
              <w:t>−1.044% [−1.498, −0.590] sig</w:t>
            </w:r>
          </w:p>
        </w:tc>
        <w:tc>
          <w:tcPr>
            <w:tcW w:type="dxa" w:w="1440"/>
          </w:tcPr>
          <w:p>
            <w:r>
              <w:t>−1.164% [−1.590, −0.738] sig</w:t>
            </w:r>
          </w:p>
        </w:tc>
        <w:tc>
          <w:tcPr>
            <w:tcW w:type="dxa" w:w="1440"/>
          </w:tcPr>
          <w:p>
            <w:r>
              <w:t>−0.209% [−0.558, +0.140] ns</w:t>
            </w:r>
          </w:p>
        </w:tc>
      </w:tr>
      <w:tr>
        <w:tc>
          <w:tcPr>
            <w:tcW w:type="dxa" w:w="1440"/>
          </w:tcPr>
          <w:p>
            <w:r>
              <w:t>ToT</w:t>
            </w:r>
          </w:p>
        </w:tc>
        <w:tc>
          <w:tcPr>
            <w:tcW w:type="dxa" w:w="1440"/>
          </w:tcPr>
          <w:p>
            <w:r>
              <w:t>v4</w:t>
            </w:r>
          </w:p>
        </w:tc>
        <w:tc>
          <w:tcPr>
            <w:tcW w:type="dxa" w:w="1440"/>
          </w:tcPr>
          <w:p>
            <w:r>
              <w:t>1,290,318</w:t>
            </w:r>
          </w:p>
        </w:tc>
        <w:tc>
          <w:tcPr>
            <w:tcW w:type="dxa" w:w="1440"/>
          </w:tcPr>
          <w:p>
            <w:r>
              <w:t>−1.547% [−2.027, −1.068] sig</w:t>
            </w:r>
          </w:p>
        </w:tc>
        <w:tc>
          <w:tcPr>
            <w:tcW w:type="dxa" w:w="1440"/>
          </w:tcPr>
          <w:p>
            <w:r>
              <w:t>−1.573% [−2.022, −1.123] sig</w:t>
            </w:r>
          </w:p>
        </w:tc>
        <w:tc>
          <w:tcPr>
            <w:tcW w:type="dxa" w:w="1440"/>
          </w:tcPr>
          <w:p>
            <w:r>
              <w:t>+0.005% [−0.360, +0.371] ns</w:t>
            </w:r>
          </w:p>
        </w:tc>
      </w:tr>
      <w:tr>
        <w:tc>
          <w:tcPr>
            <w:tcW w:type="dxa" w:w="1440"/>
          </w:tcPr>
          <w:p>
            <w:r>
              <w:t>ToT</w:t>
            </w:r>
          </w:p>
        </w:tc>
        <w:tc>
          <w:tcPr>
            <w:tcW w:type="dxa" w:w="1440"/>
          </w:tcPr>
          <w:p>
            <w:r>
              <w:t>v5b</w:t>
            </w:r>
          </w:p>
        </w:tc>
        <w:tc>
          <w:tcPr>
            <w:tcW w:type="dxa" w:w="1440"/>
          </w:tcPr>
          <w:p>
            <w:r>
              <w:t>1,291,138</w:t>
            </w:r>
          </w:p>
        </w:tc>
        <w:tc>
          <w:tcPr>
            <w:tcW w:type="dxa" w:w="1440"/>
          </w:tcPr>
          <w:p>
            <w:r>
              <w:t>+0.341% [−0.143, +0.824] ns</w:t>
            </w:r>
          </w:p>
        </w:tc>
        <w:tc>
          <w:tcPr>
            <w:tcW w:type="dxa" w:w="1440"/>
          </w:tcPr>
          <w:p>
            <w:r>
              <w:t>+0.539% [+0.086, +0.992] sig</w:t>
            </w:r>
          </w:p>
        </w:tc>
        <w:tc>
          <w:tcPr>
            <w:tcW w:type="dxa" w:w="1440"/>
          </w:tcPr>
          <w:p>
            <w:r>
              <w:t>−0.509% [−0.874, −0.144] sig</w:t>
            </w:r>
          </w:p>
        </w:tc>
      </w:tr>
      <w:tr>
        <w:tc>
          <w:tcPr>
            <w:tcW w:type="dxa" w:w="1440"/>
          </w:tcPr>
          <w:p>
            <w:r>
              <w:t>ToT</w:t>
            </w:r>
          </w:p>
        </w:tc>
        <w:tc>
          <w:tcPr>
            <w:tcW w:type="dxa" w:w="1440"/>
          </w:tcPr>
          <w:p>
            <w:r>
              <w:t>v6</w:t>
            </w:r>
          </w:p>
        </w:tc>
        <w:tc>
          <w:tcPr>
            <w:tcW w:type="dxa" w:w="1440"/>
          </w:tcPr>
          <w:p>
            <w:r>
              <w:t>1,291,932</w:t>
            </w:r>
          </w:p>
        </w:tc>
        <w:tc>
          <w:tcPr>
            <w:tcW w:type="dxa" w:w="1440"/>
          </w:tcPr>
          <w:p>
            <w:r>
              <w:t>−1.205% [−1.685, −0.726] sig</w:t>
            </w:r>
          </w:p>
        </w:tc>
        <w:tc>
          <w:tcPr>
            <w:tcW w:type="dxa" w:w="1440"/>
          </w:tcPr>
          <w:p>
            <w:r>
              <w:t>−1.339% [−1.788, −0.891] sig</w:t>
            </w:r>
          </w:p>
        </w:tc>
        <w:tc>
          <w:tcPr>
            <w:tcW w:type="dxa" w:w="1440"/>
          </w:tcPr>
          <w:p>
            <w:r>
              <w:t>−0.278% [−0.642, +0.086] ns</w:t>
            </w:r>
          </w:p>
        </w:tc>
      </w:tr>
    </w:tbl>
    <w:p/>
    <w:p>
      <w:pPr/>
      <w:r>
        <w:t>Control n: ITT 3,308,943 · Active 1,853,867 · ToT 1,292,028.</w:t>
      </w:r>
    </w:p>
    <w:p>
      <w:pPr/>
      <w:r>
        <w:t>On-title (the 224,739 targeted titles — ABF2 titles served v10 cue points;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−3.006% [−3.663, −2.350] sig</w:t>
            </w:r>
          </w:p>
        </w:tc>
        <w:tc>
          <w:tcPr>
            <w:tcW w:type="dxa" w:w="1728"/>
          </w:tcPr>
          <w:p>
            <w:r>
              <w:t>−3.203% [−3.830, −2.577] sig</w:t>
            </w:r>
          </w:p>
        </w:tc>
        <w:tc>
          <w:tcPr>
            <w:tcW w:type="dxa" w:w="1728"/>
          </w:tcPr>
          <w:p>
            <w:r>
              <w:t>+0.076% [−0.457, +0.610] ns</w:t>
            </w:r>
          </w:p>
        </w:tc>
      </w:tr>
      <w:tr>
        <w:tc>
          <w:tcPr>
            <w:tcW w:type="dxa" w:w="1728"/>
          </w:tcPr>
          <w:p>
            <w:r>
              <w:t>ITT</w:t>
            </w:r>
          </w:p>
        </w:tc>
        <w:tc>
          <w:tcPr>
            <w:tcW w:type="dxa" w:w="1728"/>
          </w:tcPr>
          <w:p>
            <w:r>
              <w:t>v5b</w:t>
            </w:r>
          </w:p>
        </w:tc>
        <w:tc>
          <w:tcPr>
            <w:tcW w:type="dxa" w:w="1728"/>
          </w:tcPr>
          <w:p>
            <w:r>
              <w:t>+2.431% [+1.756, +3.106] sig</w:t>
            </w:r>
          </w:p>
        </w:tc>
        <w:tc>
          <w:tcPr>
            <w:tcW w:type="dxa" w:w="1728"/>
          </w:tcPr>
          <w:p>
            <w:r>
              <w:t>+2.634% [+1.987, +3.280] sig</w:t>
            </w:r>
          </w:p>
        </w:tc>
        <w:tc>
          <w:tcPr>
            <w:tcW w:type="dxa" w:w="1728"/>
          </w:tcPr>
          <w:p>
            <w:r>
              <w:t>−0.338% [−0.871, +0.194] ns</w:t>
            </w:r>
          </w:p>
        </w:tc>
      </w:tr>
      <w:tr>
        <w:tc>
          <w:tcPr>
            <w:tcW w:type="dxa" w:w="1728"/>
          </w:tcPr>
          <w:p>
            <w:r>
              <w:t>ITT</w:t>
            </w:r>
          </w:p>
        </w:tc>
        <w:tc>
          <w:tcPr>
            <w:tcW w:type="dxa" w:w="1728"/>
          </w:tcPr>
          <w:p>
            <w:r>
              <w:t>v6</w:t>
            </w:r>
          </w:p>
        </w:tc>
        <w:tc>
          <w:tcPr>
            <w:tcW w:type="dxa" w:w="1728"/>
          </w:tcPr>
          <w:p>
            <w:r>
              <w:t>−1.569% [−2.227, −0.911] sig</w:t>
            </w:r>
          </w:p>
        </w:tc>
        <w:tc>
          <w:tcPr>
            <w:tcW w:type="dxa" w:w="1728"/>
          </w:tcPr>
          <w:p>
            <w:r>
              <w:t>−1.824% [−2.450, −1.198] sig</w:t>
            </w:r>
          </w:p>
        </w:tc>
        <w:tc>
          <w:tcPr>
            <w:tcW w:type="dxa" w:w="1728"/>
          </w:tcPr>
          <w:p>
            <w:r>
              <w:t>−0.200% [−0.732, +0.333] ns</w:t>
            </w:r>
          </w:p>
        </w:tc>
      </w:tr>
      <w:tr>
        <w:tc>
          <w:tcPr>
            <w:tcW w:type="dxa" w:w="1728"/>
          </w:tcPr>
          <w:p>
            <w:r>
              <w:t>Active</w:t>
            </w:r>
          </w:p>
        </w:tc>
        <w:tc>
          <w:tcPr>
            <w:tcW w:type="dxa" w:w="1728"/>
          </w:tcPr>
          <w:p>
            <w:r>
              <w:t>v4</w:t>
            </w:r>
          </w:p>
        </w:tc>
        <w:tc>
          <w:tcPr>
            <w:tcW w:type="dxa" w:w="1728"/>
          </w:tcPr>
          <w:p>
            <w:r>
              <w:t>−3.011% [−3.662, −2.359] sig</w:t>
            </w:r>
          </w:p>
        </w:tc>
        <w:tc>
          <w:tcPr>
            <w:tcW w:type="dxa" w:w="1728"/>
          </w:tcPr>
          <w:p>
            <w:r>
              <w:t>−3.209% [−3.830, −2.587] sig</w:t>
            </w:r>
          </w:p>
        </w:tc>
        <w:tc>
          <w:tcPr>
            <w:tcW w:type="dxa" w:w="1728"/>
          </w:tcPr>
          <w:p>
            <w:r>
              <w:t>+0.091% [−0.437, +0.620] ns</w:t>
            </w:r>
          </w:p>
        </w:tc>
      </w:tr>
      <w:tr>
        <w:tc>
          <w:tcPr>
            <w:tcW w:type="dxa" w:w="1728"/>
          </w:tcPr>
          <w:p>
            <w:r>
              <w:t>Active</w:t>
            </w:r>
          </w:p>
        </w:tc>
        <w:tc>
          <w:tcPr>
            <w:tcW w:type="dxa" w:w="1728"/>
          </w:tcPr>
          <w:p>
            <w:r>
              <w:t>v5b</w:t>
            </w:r>
          </w:p>
        </w:tc>
        <w:tc>
          <w:tcPr>
            <w:tcW w:type="dxa" w:w="1728"/>
          </w:tcPr>
          <w:p>
            <w:r>
              <w:t>+2.409% [+1.739, +3.079] sig</w:t>
            </w:r>
          </w:p>
        </w:tc>
        <w:tc>
          <w:tcPr>
            <w:tcW w:type="dxa" w:w="1728"/>
          </w:tcPr>
          <w:p>
            <w:r>
              <w:t>+2.612% [+1.970, +3.253] sig</w:t>
            </w:r>
          </w:p>
        </w:tc>
        <w:tc>
          <w:tcPr>
            <w:tcW w:type="dxa" w:w="1728"/>
          </w:tcPr>
          <w:p>
            <w:r>
              <w:t>−0.325% [−0.851, +0.202] ns</w:t>
            </w:r>
          </w:p>
        </w:tc>
      </w:tr>
      <w:tr>
        <w:tc>
          <w:tcPr>
            <w:tcW w:type="dxa" w:w="1728"/>
          </w:tcPr>
          <w:p>
            <w:r>
              <w:t>Active</w:t>
            </w:r>
          </w:p>
        </w:tc>
        <w:tc>
          <w:tcPr>
            <w:tcW w:type="dxa" w:w="1728"/>
          </w:tcPr>
          <w:p>
            <w:r>
              <w:t>v6</w:t>
            </w:r>
          </w:p>
        </w:tc>
        <w:tc>
          <w:tcPr>
            <w:tcW w:type="dxa" w:w="1728"/>
          </w:tcPr>
          <w:p>
            <w:r>
              <w:t>−1.593% [−2.246, −0.940] sig</w:t>
            </w:r>
          </w:p>
        </w:tc>
        <w:tc>
          <w:tcPr>
            <w:tcW w:type="dxa" w:w="1728"/>
          </w:tcPr>
          <w:p>
            <w:r>
              <w:t>−1.849% [−2.470, −1.228] sig</w:t>
            </w:r>
          </w:p>
        </w:tc>
        <w:tc>
          <w:tcPr>
            <w:tcW w:type="dxa" w:w="1728"/>
          </w:tcPr>
          <w:p>
            <w:r>
              <w:t>−0.211% [−0.738, +0.316] ns</w:t>
            </w:r>
          </w:p>
        </w:tc>
      </w:tr>
      <w:tr>
        <w:tc>
          <w:tcPr>
            <w:tcW w:type="dxa" w:w="1728"/>
          </w:tcPr>
          <w:p>
            <w:r>
              <w:t>ToT</w:t>
            </w:r>
          </w:p>
        </w:tc>
        <w:tc>
          <w:tcPr>
            <w:tcW w:type="dxa" w:w="1728"/>
          </w:tcPr>
          <w:p>
            <w:r>
              <w:t>v4</w:t>
            </w:r>
          </w:p>
        </w:tc>
        <w:tc>
          <w:tcPr>
            <w:tcW w:type="dxa" w:w="1728"/>
          </w:tcPr>
          <w:p>
            <w:r>
              <w:t>−3.117% [−3.750, −2.483] sig</w:t>
            </w:r>
          </w:p>
        </w:tc>
        <w:tc>
          <w:tcPr>
            <w:tcW w:type="dxa" w:w="1728"/>
          </w:tcPr>
          <w:p>
            <w:r>
              <w:t>−3.313% [−3.915, −2.711] sig</w:t>
            </w:r>
          </w:p>
        </w:tc>
        <w:tc>
          <w:tcPr>
            <w:tcW w:type="dxa" w:w="1728"/>
          </w:tcPr>
          <w:p>
            <w:r>
              <w:t>+0.017% [−0.491, +0.525] ns</w:t>
            </w:r>
          </w:p>
        </w:tc>
      </w:tr>
      <w:tr>
        <w:tc>
          <w:tcPr>
            <w:tcW w:type="dxa" w:w="1728"/>
          </w:tcPr>
          <w:p>
            <w:r>
              <w:t>ToT</w:t>
            </w:r>
          </w:p>
        </w:tc>
        <w:tc>
          <w:tcPr>
            <w:tcW w:type="dxa" w:w="1728"/>
          </w:tcPr>
          <w:p>
            <w:r>
              <w:t>v5b</w:t>
            </w:r>
          </w:p>
        </w:tc>
        <w:tc>
          <w:tcPr>
            <w:tcW w:type="dxa" w:w="1728"/>
          </w:tcPr>
          <w:p>
            <w:r>
              <w:t>+2.304% [+1.653, +2.956] sig</w:t>
            </w:r>
          </w:p>
        </w:tc>
        <w:tc>
          <w:tcPr>
            <w:tcW w:type="dxa" w:w="1728"/>
          </w:tcPr>
          <w:p>
            <w:r>
              <w:t>+2.493% [+1.872, +3.114] sig</w:t>
            </w:r>
          </w:p>
        </w:tc>
        <w:tc>
          <w:tcPr>
            <w:tcW w:type="dxa" w:w="1728"/>
          </w:tcPr>
          <w:p>
            <w:r>
              <w:t>−0.425% [−0.932, +0.081] ns</w:t>
            </w:r>
          </w:p>
        </w:tc>
      </w:tr>
      <w:tr>
        <w:tc>
          <w:tcPr>
            <w:tcW w:type="dxa" w:w="1728"/>
          </w:tcPr>
          <w:p>
            <w:r>
              <w:t>ToT</w:t>
            </w:r>
          </w:p>
        </w:tc>
        <w:tc>
          <w:tcPr>
            <w:tcW w:type="dxa" w:w="1728"/>
          </w:tcPr>
          <w:p>
            <w:r>
              <w:t>v6</w:t>
            </w:r>
          </w:p>
        </w:tc>
        <w:tc>
          <w:tcPr>
            <w:tcW w:type="dxa" w:w="1728"/>
          </w:tcPr>
          <w:p>
            <w:r>
              <w:t>−1.741% [−2.376, −1.105] sig</w:t>
            </w:r>
          </w:p>
        </w:tc>
        <w:tc>
          <w:tcPr>
            <w:tcW w:type="dxa" w:w="1728"/>
          </w:tcPr>
          <w:p>
            <w:r>
              <w:t>−1.969% [−2.571, −1.367] sig</w:t>
            </w:r>
          </w:p>
        </w:tc>
        <w:tc>
          <w:tcPr>
            <w:tcW w:type="dxa" w:w="1728"/>
          </w:tcPr>
          <w:p>
            <w:r>
              <w:t>−0.251% [−0.758, +0.256] ns</w:t>
            </w:r>
          </w:p>
        </w:tc>
      </w:tr>
    </w:tbl>
    <w:p/>
    <w:p>
      <w:pPr/>
      <w:r>
        <w:t>On the targeted titles the split sharpens: v5b +2.431% sig unbudgeted revenue, v4 −3.006% sig, v6 −1.569% sig, the same sign and significance in every population. On-title TVT is not significant for any arm.</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~1.8%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3,242,723</w:t>
            </w:r>
          </w:p>
        </w:tc>
        <w:tc>
          <w:tcPr>
            <w:tcW w:type="dxa" w:w="1728"/>
          </w:tcPr>
          <w:p>
            <w:r>
              <w:t>+0.049% [−0.360, +0.458]</w:t>
            </w:r>
          </w:p>
        </w:tc>
        <w:tc>
          <w:tcPr>
            <w:tcW w:type="dxa" w:w="1728"/>
          </w:tcPr>
          <w:p>
            <w:r>
              <w:t>No</w:t>
            </w:r>
          </w:p>
        </w:tc>
      </w:tr>
      <w:tr>
        <w:tc>
          <w:tcPr>
            <w:tcW w:type="dxa" w:w="1728"/>
          </w:tcPr>
          <w:p>
            <w:r>
              <w:t>Non-power viewers</w:t>
            </w:r>
          </w:p>
        </w:tc>
        <w:tc>
          <w:tcPr>
            <w:tcW w:type="dxa" w:w="1728"/>
          </w:tcPr>
          <w:p>
            <w:r>
              <w:t>v5b</w:t>
            </w:r>
          </w:p>
        </w:tc>
        <w:tc>
          <w:tcPr>
            <w:tcW w:type="dxa" w:w="1728"/>
          </w:tcPr>
          <w:p>
            <w:r>
              <w:t>3,245,475</w:t>
            </w:r>
          </w:p>
        </w:tc>
        <w:tc>
          <w:tcPr>
            <w:tcW w:type="dxa" w:w="1728"/>
          </w:tcPr>
          <w:p>
            <w:r>
              <w:t>−0.287% [−0.695, +0.121]</w:t>
            </w:r>
          </w:p>
        </w:tc>
        <w:tc>
          <w:tcPr>
            <w:tcW w:type="dxa" w:w="1728"/>
          </w:tcPr>
          <w:p>
            <w:r>
              <w:t>No</w:t>
            </w:r>
          </w:p>
        </w:tc>
      </w:tr>
      <w:tr>
        <w:tc>
          <w:tcPr>
            <w:tcW w:type="dxa" w:w="1728"/>
          </w:tcPr>
          <w:p>
            <w:r>
              <w:t>Non-power viewers</w:t>
            </w:r>
          </w:p>
        </w:tc>
        <w:tc>
          <w:tcPr>
            <w:tcW w:type="dxa" w:w="1728"/>
          </w:tcPr>
          <w:p>
            <w:r>
              <w:t>v6</w:t>
            </w:r>
          </w:p>
        </w:tc>
        <w:tc>
          <w:tcPr>
            <w:tcW w:type="dxa" w:w="1728"/>
          </w:tcPr>
          <w:p>
            <w:r>
              <w:t>3,248,382</w:t>
            </w:r>
          </w:p>
        </w:tc>
        <w:tc>
          <w:tcPr>
            <w:tcW w:type="dxa" w:w="1728"/>
          </w:tcPr>
          <w:p>
            <w:r>
              <w:t>−0.206% [−0.613, +0.201]</w:t>
            </w:r>
          </w:p>
        </w:tc>
        <w:tc>
          <w:tcPr>
            <w:tcW w:type="dxa" w:w="1728"/>
          </w:tcPr>
          <w:p>
            <w:r>
              <w:t>No</w:t>
            </w:r>
          </w:p>
        </w:tc>
      </w:tr>
      <w:tr>
        <w:tc>
          <w:tcPr>
            <w:tcW w:type="dxa" w:w="1728"/>
          </w:tcPr>
          <w:p>
            <w:r>
              <w:t>Power viewers</w:t>
            </w:r>
          </w:p>
        </w:tc>
        <w:tc>
          <w:tcPr>
            <w:tcW w:type="dxa" w:w="1728"/>
          </w:tcPr>
          <w:p>
            <w:r>
              <w:t>v4</w:t>
            </w:r>
          </w:p>
        </w:tc>
        <w:tc>
          <w:tcPr>
            <w:tcW w:type="dxa" w:w="1728"/>
          </w:tcPr>
          <w:p>
            <w:r>
              <w:t>58,744</w:t>
            </w:r>
          </w:p>
        </w:tc>
        <w:tc>
          <w:tcPr>
            <w:tcW w:type="dxa" w:w="1728"/>
          </w:tcPr>
          <w:p>
            <w:r>
              <w:t>+0.044% [−0.661, +0.748]</w:t>
            </w:r>
          </w:p>
        </w:tc>
        <w:tc>
          <w:tcPr>
            <w:tcW w:type="dxa" w:w="1728"/>
          </w:tcPr>
          <w:p>
            <w:r>
              <w:t>No</w:t>
            </w:r>
          </w:p>
        </w:tc>
      </w:tr>
      <w:tr>
        <w:tc>
          <w:tcPr>
            <w:tcW w:type="dxa" w:w="1728"/>
          </w:tcPr>
          <w:p>
            <w:r>
              <w:t>Power viewers</w:t>
            </w:r>
          </w:p>
        </w:tc>
        <w:tc>
          <w:tcPr>
            <w:tcW w:type="dxa" w:w="1728"/>
          </w:tcPr>
          <w:p>
            <w:r>
              <w:t>v5b</w:t>
            </w:r>
          </w:p>
        </w:tc>
        <w:tc>
          <w:tcPr>
            <w:tcW w:type="dxa" w:w="1728"/>
          </w:tcPr>
          <w:p>
            <w:r>
              <w:t>58,300</w:t>
            </w:r>
          </w:p>
        </w:tc>
        <w:tc>
          <w:tcPr>
            <w:tcW w:type="dxa" w:w="1728"/>
          </w:tcPr>
          <w:p>
            <w:r>
              <w:t>−0.741% [−1.446, −0.036]</w:t>
            </w:r>
          </w:p>
        </w:tc>
        <w:tc>
          <w:tcPr>
            <w:tcW w:type="dxa" w:w="1728"/>
          </w:tcPr>
          <w:p>
            <w:r>
              <w:t>Yes</w:t>
            </w:r>
          </w:p>
        </w:tc>
      </w:tr>
      <w:tr>
        <w:tc>
          <w:tcPr>
            <w:tcW w:type="dxa" w:w="1728"/>
          </w:tcPr>
          <w:p>
            <w:r>
              <w:t>Power viewers</w:t>
            </w:r>
          </w:p>
        </w:tc>
        <w:tc>
          <w:tcPr>
            <w:tcW w:type="dxa" w:w="1728"/>
          </w:tcPr>
          <w:p>
            <w:r>
              <w:t>v6</w:t>
            </w:r>
          </w:p>
        </w:tc>
        <w:tc>
          <w:tcPr>
            <w:tcW w:type="dxa" w:w="1728"/>
          </w:tcPr>
          <w:p>
            <w:r>
              <w:t>58,675</w:t>
            </w:r>
          </w:p>
        </w:tc>
        <w:tc>
          <w:tcPr>
            <w:tcW w:type="dxa" w:w="1728"/>
          </w:tcPr>
          <w:p>
            <w:r>
              <w:t>−0.259% [−0.963, +0.445]</w:t>
            </w:r>
          </w:p>
        </w:tc>
        <w:tc>
          <w:tcPr>
            <w:tcW w:type="dxa" w:w="1728"/>
          </w:tcPr>
          <w:p>
            <w:r>
              <w:t>No</w:t>
            </w:r>
          </w:p>
        </w:tc>
      </w:tr>
    </w:tbl>
    <w:p/>
    <w:p>
      <w:pPr/>
      <w:r>
        <w:t>Control n: non-power 3,250,656 · power 58,287. The v5b global dip shows in both viewer types (non-power −0.287% ns, power −0.741% sig); only the power-viewer dip is significant. v4 and v6 do not move TVT significantly for either type. Power viewers are a small share on mobile (~1.8%), so their intervals are wide.</w:t>
      </w:r>
    </w:p>
    <w:p>
      <w:pPr>
        <w:pStyle w:val="Heading1"/>
      </w:pPr>
      <w:r>
        <w:t>2. Where the result lives</w:t>
      </w:r>
    </w:p>
    <w:p>
      <w:pPr/>
      <w:r>
        <w:t>Band and movie/episode numbers below are raw device-level Welch lifts (unbudgeted revenue/impressions, not CUPED), among devices who watched at least one targeted title in that band or type during the window. The same device can appear in more than one band. Titles are the 224,739 targeted titles;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−7.58% [−9.34, −5.83] sig</w:t>
            </w:r>
          </w:p>
        </w:tc>
        <w:tc>
          <w:tcPr>
            <w:tcW w:type="dxa" w:w="1440"/>
          </w:tcPr>
          <w:p>
            <w:r>
              <w:t>+0.43% ns</w:t>
            </w:r>
          </w:p>
        </w:tc>
        <w:tc>
          <w:tcPr>
            <w:tcW w:type="dxa" w:w="1440"/>
          </w:tcPr>
          <w:p>
            <w:r>
              <w:t>−7.86% [−9.56, −6.17] sig</w:t>
            </w:r>
          </w:p>
        </w:tc>
        <w:tc>
          <w:tcPr>
            <w:tcW w:type="dxa" w:w="1440"/>
          </w:tcPr>
          <w:p>
            <w:r>
              <w:t>352,960</w:t>
            </w:r>
          </w:p>
        </w:tc>
      </w:tr>
      <w:tr>
        <w:tc>
          <w:tcPr>
            <w:tcW w:type="dxa" w:w="1440"/>
          </w:tcPr>
          <w:p>
            <w:r>
              <w:t>1–3</w:t>
            </w:r>
          </w:p>
        </w:tc>
        <w:tc>
          <w:tcPr>
            <w:tcW w:type="dxa" w:w="1440"/>
          </w:tcPr>
          <w:p>
            <w:r>
              <w:t>v5b</w:t>
            </w:r>
          </w:p>
        </w:tc>
        <w:tc>
          <w:tcPr>
            <w:tcW w:type="dxa" w:w="1440"/>
          </w:tcPr>
          <w:p>
            <w:r>
              <w:t>+2.66% [+0.83, +4.49] sig</w:t>
            </w:r>
          </w:p>
        </w:tc>
        <w:tc>
          <w:tcPr>
            <w:tcW w:type="dxa" w:w="1440"/>
          </w:tcPr>
          <w:p>
            <w:r>
              <w:t>−0.83% ns</w:t>
            </w:r>
          </w:p>
        </w:tc>
        <w:tc>
          <w:tcPr>
            <w:tcW w:type="dxa" w:w="1440"/>
          </w:tcPr>
          <w:p>
            <w:r>
              <w:t>+2.99% [+1.21, +4.78] sig</w:t>
            </w:r>
          </w:p>
        </w:tc>
        <w:tc>
          <w:tcPr>
            <w:tcW w:type="dxa" w:w="1440"/>
          </w:tcPr>
          <w:p>
            <w:r>
              <w:t>351,890</w:t>
            </w:r>
          </w:p>
        </w:tc>
      </w:tr>
      <w:tr>
        <w:tc>
          <w:tcPr>
            <w:tcW w:type="dxa" w:w="1440"/>
          </w:tcPr>
          <w:p>
            <w:r>
              <w:t>1–3</w:t>
            </w:r>
          </w:p>
        </w:tc>
        <w:tc>
          <w:tcPr>
            <w:tcW w:type="dxa" w:w="1440"/>
          </w:tcPr>
          <w:p>
            <w:r>
              <w:t>v6</w:t>
            </w:r>
          </w:p>
        </w:tc>
        <w:tc>
          <w:tcPr>
            <w:tcW w:type="dxa" w:w="1440"/>
          </w:tcPr>
          <w:p>
            <w:r>
              <w:t>−7.94% [−9.68, −6.20] sig</w:t>
            </w:r>
          </w:p>
        </w:tc>
        <w:tc>
          <w:tcPr>
            <w:tcW w:type="dxa" w:w="1440"/>
          </w:tcPr>
          <w:p>
            <w:r>
              <w:t>−0.27% ns</w:t>
            </w:r>
          </w:p>
        </w:tc>
        <w:tc>
          <w:tcPr>
            <w:tcW w:type="dxa" w:w="1440"/>
          </w:tcPr>
          <w:p>
            <w:r>
              <w:t>−8.38% [−10.07, −6.70] sig</w:t>
            </w:r>
          </w:p>
        </w:tc>
        <w:tc>
          <w:tcPr>
            <w:tcW w:type="dxa" w:w="1440"/>
          </w:tcPr>
          <w:p>
            <w:r>
              <w:t>353,405</w:t>
            </w:r>
          </w:p>
        </w:tc>
      </w:tr>
      <w:tr>
        <w:tc>
          <w:tcPr>
            <w:tcW w:type="dxa" w:w="1440"/>
          </w:tcPr>
          <w:p>
            <w:r>
              <w:t>4–6</w:t>
            </w:r>
          </w:p>
        </w:tc>
        <w:tc>
          <w:tcPr>
            <w:tcW w:type="dxa" w:w="1440"/>
          </w:tcPr>
          <w:p>
            <w:r>
              <w:t>v4</w:t>
            </w:r>
          </w:p>
        </w:tc>
        <w:tc>
          <w:tcPr>
            <w:tcW w:type="dxa" w:w="1440"/>
          </w:tcPr>
          <w:p>
            <w:r>
              <w:t>−3.04% [−4.57, −1.51] sig</w:t>
            </w:r>
          </w:p>
        </w:tc>
        <w:tc>
          <w:tcPr>
            <w:tcW w:type="dxa" w:w="1440"/>
          </w:tcPr>
          <w:p>
            <w:r>
              <w:t>+1.18% ns</w:t>
            </w:r>
          </w:p>
        </w:tc>
        <w:tc>
          <w:tcPr>
            <w:tcW w:type="dxa" w:w="1440"/>
          </w:tcPr>
          <w:p>
            <w:r>
              <w:t>−3.38% [−4.82, −1.94] sig</w:t>
            </w:r>
          </w:p>
        </w:tc>
        <w:tc>
          <w:tcPr>
            <w:tcW w:type="dxa" w:w="1440"/>
          </w:tcPr>
          <w:p>
            <w:r>
              <w:t>445,546</w:t>
            </w:r>
          </w:p>
        </w:tc>
      </w:tr>
      <w:tr>
        <w:tc>
          <w:tcPr>
            <w:tcW w:type="dxa" w:w="1440"/>
          </w:tcPr>
          <w:p>
            <w:r>
              <w:t>4–6</w:t>
            </w:r>
          </w:p>
        </w:tc>
        <w:tc>
          <w:tcPr>
            <w:tcW w:type="dxa" w:w="1440"/>
          </w:tcPr>
          <w:p>
            <w:r>
              <w:t>v5b</w:t>
            </w:r>
          </w:p>
        </w:tc>
        <w:tc>
          <w:tcPr>
            <w:tcW w:type="dxa" w:w="1440"/>
          </w:tcPr>
          <w:p>
            <w:r>
              <w:t>+4.79% [+3.20, +6.37] sig</w:t>
            </w:r>
          </w:p>
        </w:tc>
        <w:tc>
          <w:tcPr>
            <w:tcW w:type="dxa" w:w="1440"/>
          </w:tcPr>
          <w:p>
            <w:r>
              <w:t>−0.03% ns</w:t>
            </w:r>
          </w:p>
        </w:tc>
        <w:tc>
          <w:tcPr>
            <w:tcW w:type="dxa" w:w="1440"/>
          </w:tcPr>
          <w:p>
            <w:r>
              <w:t>+5.01% [+3.52, +6.50] sig</w:t>
            </w:r>
          </w:p>
        </w:tc>
        <w:tc>
          <w:tcPr>
            <w:tcW w:type="dxa" w:w="1440"/>
          </w:tcPr>
          <w:p>
            <w:r>
              <w:t>446,515</w:t>
            </w:r>
          </w:p>
        </w:tc>
      </w:tr>
      <w:tr>
        <w:tc>
          <w:tcPr>
            <w:tcW w:type="dxa" w:w="1440"/>
          </w:tcPr>
          <w:p>
            <w:r>
              <w:t>4–6</w:t>
            </w:r>
          </w:p>
        </w:tc>
        <w:tc>
          <w:tcPr>
            <w:tcW w:type="dxa" w:w="1440"/>
          </w:tcPr>
          <w:p>
            <w:r>
              <w:t>v6</w:t>
            </w:r>
          </w:p>
        </w:tc>
        <w:tc>
          <w:tcPr>
            <w:tcW w:type="dxa" w:w="1440"/>
          </w:tcPr>
          <w:p>
            <w:r>
              <w:t>−4.82% [−6.34, −3.31] sig</w:t>
            </w:r>
          </w:p>
        </w:tc>
        <w:tc>
          <w:tcPr>
            <w:tcW w:type="dxa" w:w="1440"/>
          </w:tcPr>
          <w:p>
            <w:r>
              <w:t>+0.17% ns</w:t>
            </w:r>
          </w:p>
        </w:tc>
        <w:tc>
          <w:tcPr>
            <w:tcW w:type="dxa" w:w="1440"/>
          </w:tcPr>
          <w:p>
            <w:r>
              <w:t>−4.97% [−6.39, −3.56] sig</w:t>
            </w:r>
          </w:p>
        </w:tc>
        <w:tc>
          <w:tcPr>
            <w:tcW w:type="dxa" w:w="1440"/>
          </w:tcPr>
          <w:p>
            <w:r>
              <w:t>446,878</w:t>
            </w:r>
          </w:p>
        </w:tc>
      </w:tr>
      <w:tr>
        <w:tc>
          <w:tcPr>
            <w:tcW w:type="dxa" w:w="1440"/>
          </w:tcPr>
          <w:p>
            <w:r>
              <w:t>7–9</w:t>
            </w:r>
          </w:p>
        </w:tc>
        <w:tc>
          <w:tcPr>
            <w:tcW w:type="dxa" w:w="1440"/>
          </w:tcPr>
          <w:p>
            <w:r>
              <w:t>v4</w:t>
            </w:r>
          </w:p>
        </w:tc>
        <w:tc>
          <w:tcPr>
            <w:tcW w:type="dxa" w:w="1440"/>
          </w:tcPr>
          <w:p>
            <w:r>
              <w:t>−3.67% [−5.15, −2.19] sig</w:t>
            </w:r>
          </w:p>
        </w:tc>
        <w:tc>
          <w:tcPr>
            <w:tcW w:type="dxa" w:w="1440"/>
          </w:tcPr>
          <w:p>
            <w:r>
              <w:t>−0.12% ns</w:t>
            </w:r>
          </w:p>
        </w:tc>
        <w:tc>
          <w:tcPr>
            <w:tcW w:type="dxa" w:w="1440"/>
          </w:tcPr>
          <w:p>
            <w:r>
              <w:t>−4.34% [−5.74, −2.94] sig</w:t>
            </w:r>
          </w:p>
        </w:tc>
        <w:tc>
          <w:tcPr>
            <w:tcW w:type="dxa" w:w="1440"/>
          </w:tcPr>
          <w:p>
            <w:r>
              <w:t>511,583</w:t>
            </w:r>
          </w:p>
        </w:tc>
      </w:tr>
      <w:tr>
        <w:tc>
          <w:tcPr>
            <w:tcW w:type="dxa" w:w="1440"/>
          </w:tcPr>
          <w:p>
            <w:r>
              <w:t>7–9</w:t>
            </w:r>
          </w:p>
        </w:tc>
        <w:tc>
          <w:tcPr>
            <w:tcW w:type="dxa" w:w="1440"/>
          </w:tcPr>
          <w:p>
            <w:r>
              <w:t>v5b</w:t>
            </w:r>
          </w:p>
        </w:tc>
        <w:tc>
          <w:tcPr>
            <w:tcW w:type="dxa" w:w="1440"/>
          </w:tcPr>
          <w:p>
            <w:r>
              <w:t>+3.09% [+1.56, +4.62] sig</w:t>
            </w:r>
          </w:p>
        </w:tc>
        <w:tc>
          <w:tcPr>
            <w:tcW w:type="dxa" w:w="1440"/>
          </w:tcPr>
          <w:p>
            <w:r>
              <w:t>+0.15% ns</w:t>
            </w:r>
          </w:p>
        </w:tc>
        <w:tc>
          <w:tcPr>
            <w:tcW w:type="dxa" w:w="1440"/>
          </w:tcPr>
          <w:p>
            <w:r>
              <w:t>+2.92% [+1.46, +4.38] sig</w:t>
            </w:r>
          </w:p>
        </w:tc>
        <w:tc>
          <w:tcPr>
            <w:tcW w:type="dxa" w:w="1440"/>
          </w:tcPr>
          <w:p>
            <w:r>
              <w:t>510,147</w:t>
            </w:r>
          </w:p>
        </w:tc>
      </w:tr>
      <w:tr>
        <w:tc>
          <w:tcPr>
            <w:tcW w:type="dxa" w:w="1440"/>
          </w:tcPr>
          <w:p>
            <w:r>
              <w:t>7–9</w:t>
            </w:r>
          </w:p>
        </w:tc>
        <w:tc>
          <w:tcPr>
            <w:tcW w:type="dxa" w:w="1440"/>
          </w:tcPr>
          <w:p>
            <w:r>
              <w:t>v6</w:t>
            </w:r>
          </w:p>
        </w:tc>
        <w:tc>
          <w:tcPr>
            <w:tcW w:type="dxa" w:w="1440"/>
          </w:tcPr>
          <w:p>
            <w:r>
              <w:t>−1.73% [−3.22, −0.25] sig</w:t>
            </w:r>
          </w:p>
        </w:tc>
        <w:tc>
          <w:tcPr>
            <w:tcW w:type="dxa" w:w="1440"/>
          </w:tcPr>
          <w:p>
            <w:r>
              <w:t>+0.08% ns</w:t>
            </w:r>
          </w:p>
        </w:tc>
        <w:tc>
          <w:tcPr>
            <w:tcW w:type="dxa" w:w="1440"/>
          </w:tcPr>
          <w:p>
            <w:r>
              <w:t>−2.20% [−3.61, −0.79] sig</w:t>
            </w:r>
          </w:p>
        </w:tc>
        <w:tc>
          <w:tcPr>
            <w:tcW w:type="dxa" w:w="1440"/>
          </w:tcPr>
          <w:p>
            <w:r>
              <w:t>512,155</w:t>
            </w:r>
          </w:p>
        </w:tc>
      </w:tr>
      <w:tr>
        <w:tc>
          <w:tcPr>
            <w:tcW w:type="dxa" w:w="1440"/>
          </w:tcPr>
          <w:p>
            <w:r>
              <w:t>10–12</w:t>
            </w:r>
          </w:p>
        </w:tc>
        <w:tc>
          <w:tcPr>
            <w:tcW w:type="dxa" w:w="1440"/>
          </w:tcPr>
          <w:p>
            <w:r>
              <w:t>v4</w:t>
            </w:r>
          </w:p>
        </w:tc>
        <w:tc>
          <w:tcPr>
            <w:tcW w:type="dxa" w:w="1440"/>
          </w:tcPr>
          <w:p>
            <w:r>
              <w:t>+1.16% [+0.15, +2.17] sig</w:t>
            </w:r>
          </w:p>
        </w:tc>
        <w:tc>
          <w:tcPr>
            <w:tcW w:type="dxa" w:w="1440"/>
          </w:tcPr>
          <w:p>
            <w:r>
              <w:t>+0.12% ns</w:t>
            </w:r>
          </w:p>
        </w:tc>
        <w:tc>
          <w:tcPr>
            <w:tcW w:type="dxa" w:w="1440"/>
          </w:tcPr>
          <w:p>
            <w:r>
              <w:t>+1.64% [+0.70, +2.58] sig</w:t>
            </w:r>
          </w:p>
        </w:tc>
        <w:tc>
          <w:tcPr>
            <w:tcW w:type="dxa" w:w="1440"/>
          </w:tcPr>
          <w:p>
            <w:r>
              <w:t>624,187</w:t>
            </w:r>
          </w:p>
        </w:tc>
      </w:tr>
      <w:tr>
        <w:tc>
          <w:tcPr>
            <w:tcW w:type="dxa" w:w="1440"/>
          </w:tcPr>
          <w:p>
            <w:r>
              <w:t>10–12</w:t>
            </w:r>
          </w:p>
        </w:tc>
        <w:tc>
          <w:tcPr>
            <w:tcW w:type="dxa" w:w="1440"/>
          </w:tcPr>
          <w:p>
            <w:r>
              <w:t>v5b</w:t>
            </w:r>
          </w:p>
        </w:tc>
        <w:tc>
          <w:tcPr>
            <w:tcW w:type="dxa" w:w="1440"/>
          </w:tcPr>
          <w:p>
            <w:r>
              <w:t>+4.58% [+3.56, +5.61] sig</w:t>
            </w:r>
          </w:p>
        </w:tc>
        <w:tc>
          <w:tcPr>
            <w:tcW w:type="dxa" w:w="1440"/>
          </w:tcPr>
          <w:p>
            <w:r>
              <w:t>+0.26% ns</w:t>
            </w:r>
          </w:p>
        </w:tc>
        <w:tc>
          <w:tcPr>
            <w:tcW w:type="dxa" w:w="1440"/>
          </w:tcPr>
          <w:p>
            <w:r>
              <w:t>+4.78% [+3.83, +5.74] sig</w:t>
            </w:r>
          </w:p>
        </w:tc>
        <w:tc>
          <w:tcPr>
            <w:tcW w:type="dxa" w:w="1440"/>
          </w:tcPr>
          <w:p>
            <w:r>
              <w:t>623,956</w:t>
            </w:r>
          </w:p>
        </w:tc>
      </w:tr>
      <w:tr>
        <w:tc>
          <w:tcPr>
            <w:tcW w:type="dxa" w:w="1440"/>
          </w:tcPr>
          <w:p>
            <w:r>
              <w:t>10–12</w:t>
            </w:r>
          </w:p>
        </w:tc>
        <w:tc>
          <w:tcPr>
            <w:tcW w:type="dxa" w:w="1440"/>
          </w:tcPr>
          <w:p>
            <w:r>
              <w:t>v6</w:t>
            </w:r>
          </w:p>
        </w:tc>
        <w:tc>
          <w:tcPr>
            <w:tcW w:type="dxa" w:w="1440"/>
          </w:tcPr>
          <w:p>
            <w:r>
              <w:t>+5.45% [+4.43, +6.48] sig</w:t>
            </w:r>
          </w:p>
        </w:tc>
        <w:tc>
          <w:tcPr>
            <w:tcW w:type="dxa" w:w="1440"/>
          </w:tcPr>
          <w:p>
            <w:r>
              <w:t>−0.21% ns</w:t>
            </w:r>
          </w:p>
        </w:tc>
        <w:tc>
          <w:tcPr>
            <w:tcW w:type="dxa" w:w="1440"/>
          </w:tcPr>
          <w:p>
            <w:r>
              <w:t>+5.59% [+4.64, +6.54] sig</w:t>
            </w:r>
          </w:p>
        </w:tc>
        <w:tc>
          <w:tcPr>
            <w:tcW w:type="dxa" w:w="1440"/>
          </w:tcPr>
          <w:p>
            <w:r>
              <w:t>624,608</w:t>
            </w:r>
          </w:p>
        </w:tc>
      </w:tr>
      <w:tr>
        <w:tc>
          <w:tcPr>
            <w:tcW w:type="dxa" w:w="1440"/>
          </w:tcPr>
          <w:p>
            <w:r>
              <w:t>13+</w:t>
            </w:r>
          </w:p>
        </w:tc>
        <w:tc>
          <w:tcPr>
            <w:tcW w:type="dxa" w:w="1440"/>
          </w:tcPr>
          <w:p>
            <w:r>
              <w:t>v4</w:t>
            </w:r>
          </w:p>
        </w:tc>
        <w:tc>
          <w:tcPr>
            <w:tcW w:type="dxa" w:w="1440"/>
          </w:tcPr>
          <w:p>
            <w:r>
              <w:t>−1.77% [−2.65, −0.88] sig</w:t>
            </w:r>
          </w:p>
        </w:tc>
        <w:tc>
          <w:tcPr>
            <w:tcW w:type="dxa" w:w="1440"/>
          </w:tcPr>
          <w:p>
            <w:r>
              <w:t>−0.11% ns</w:t>
            </w:r>
          </w:p>
        </w:tc>
        <w:tc>
          <w:tcPr>
            <w:tcW w:type="dxa" w:w="1440"/>
          </w:tcPr>
          <w:p>
            <w:r>
              <w:t>−1.75% [−2.58, −0.93] sig</w:t>
            </w:r>
          </w:p>
        </w:tc>
        <w:tc>
          <w:tcPr>
            <w:tcW w:type="dxa" w:w="1440"/>
          </w:tcPr>
          <w:p>
            <w:r>
              <w:t>799,168</w:t>
            </w:r>
          </w:p>
        </w:tc>
      </w:tr>
      <w:tr>
        <w:tc>
          <w:tcPr>
            <w:tcW w:type="dxa" w:w="1440"/>
          </w:tcPr>
          <w:p>
            <w:r>
              <w:t>13+</w:t>
            </w:r>
          </w:p>
        </w:tc>
        <w:tc>
          <w:tcPr>
            <w:tcW w:type="dxa" w:w="1440"/>
          </w:tcPr>
          <w:p>
            <w:r>
              <w:t>v5b</w:t>
            </w:r>
          </w:p>
        </w:tc>
        <w:tc>
          <w:tcPr>
            <w:tcW w:type="dxa" w:w="1440"/>
          </w:tcPr>
          <w:p>
            <w:r>
              <w:t>−0.75% [−1.64, +0.14] ns</w:t>
            </w:r>
          </w:p>
        </w:tc>
        <w:tc>
          <w:tcPr>
            <w:tcW w:type="dxa" w:w="1440"/>
          </w:tcPr>
          <w:p>
            <w:r>
              <w:t>−0.66% ns</w:t>
            </w:r>
          </w:p>
        </w:tc>
        <w:tc>
          <w:tcPr>
            <w:tcW w:type="dxa" w:w="1440"/>
          </w:tcPr>
          <w:p>
            <w:r>
              <w:t>−0.93% [−1.76, −0.10] sig</w:t>
            </w:r>
          </w:p>
        </w:tc>
        <w:tc>
          <w:tcPr>
            <w:tcW w:type="dxa" w:w="1440"/>
          </w:tcPr>
          <w:p>
            <w:r>
              <w:t>797,708</w:t>
            </w:r>
          </w:p>
        </w:tc>
      </w:tr>
      <w:tr>
        <w:tc>
          <w:tcPr>
            <w:tcW w:type="dxa" w:w="1440"/>
          </w:tcPr>
          <w:p>
            <w:r>
              <w:t>13+</w:t>
            </w:r>
          </w:p>
        </w:tc>
        <w:tc>
          <w:tcPr>
            <w:tcW w:type="dxa" w:w="1440"/>
          </w:tcPr>
          <w:p>
            <w:r>
              <w:t>v6</w:t>
            </w:r>
          </w:p>
        </w:tc>
        <w:tc>
          <w:tcPr>
            <w:tcW w:type="dxa" w:w="1440"/>
          </w:tcPr>
          <w:p>
            <w:r>
              <w:t>+0.55% [−0.35, +1.45] ns</w:t>
            </w:r>
          </w:p>
        </w:tc>
        <w:tc>
          <w:tcPr>
            <w:tcW w:type="dxa" w:w="1440"/>
          </w:tcPr>
          <w:p>
            <w:r>
              <w:t>−0.84% sig</w:t>
            </w:r>
          </w:p>
        </w:tc>
        <w:tc>
          <w:tcPr>
            <w:tcW w:type="dxa" w:w="1440"/>
          </w:tcPr>
          <w:p>
            <w:r>
              <w:t>+0.46% [−0.38, +1.29] ns</w:t>
            </w:r>
          </w:p>
        </w:tc>
        <w:tc>
          <w:tcPr>
            <w:tcW w:type="dxa" w:w="1440"/>
          </w:tcPr>
          <w:p>
            <w:r>
              <w:t>799,698</w:t>
            </w:r>
          </w:p>
        </w:tc>
      </w:tr>
    </w:tbl>
    <w:p/>
    <w:p>
      <w:pPr/>
      <w:r>
        <w:t>Control n by band: 1–3 353,616 · 4–6 446,911 · 7–9 511,246 · 10–12 625,180 · 13+ 799,305.</w:t>
      </w:r>
    </w:p>
    <w:p>
      <w:pPr>
        <w:pStyle w:val="ListBullet"/>
      </w:pPr>
      <w:r>
        <w:t>1–3 and 4–6 are where v4/v6 lose: 1–3 v4 −7.58% sig, v6 −7.94% sig; 4–6 v4 −3.04% sig, v6 −4.82% sig. v5b is up in both (+2.66% sig, +4.79% sig). On OTT 1–3 is flat and the 4–6 losses are smaller (v4 −1.40% sig, v6 −1.93% sig).</w:t>
      </w:r>
    </w:p>
    <w:p>
      <w:pPr>
        <w:pStyle w:val="ListBullet"/>
      </w:pPr>
      <w:r>
        <w:t>10–12 is the positive pocket for v6 (+5.45% sig) and v5b (+4.58% sig); v4 is +1.16% sig.</w:t>
      </w:r>
    </w:p>
    <w:p>
      <w:pPr>
        <w:pStyle w:val="ListBullet"/>
      </w:pPr>
      <w:r>
        <w:t>7–9 gains on v5b (+3.09% sig) and loses on v4 (−3.67% sig); v6 −1.73% sig. 13+ loses on v4 (−1.77% sig) and slightly on v5b (−0.75% ns); v6 is +0.55% ns.</w:t>
      </w:r>
    </w:p>
    <w:p>
      <w:pPr>
        <w:pStyle w:val="ListBullet"/>
      </w:pPr>
      <w:r>
        <w:t>TVT is flat in every band except 13+ on v6 (−0.84% sig).</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−7.12% [−8.71, −5.52] sig</w:t>
            </w:r>
          </w:p>
        </w:tc>
        <w:tc>
          <w:tcPr>
            <w:tcW w:type="dxa" w:w="1728"/>
          </w:tcPr>
          <w:p>
            <w:r>
              <w:t>+0.12% ns</w:t>
            </w:r>
          </w:p>
        </w:tc>
      </w:tr>
      <w:tr>
        <w:tc>
          <w:tcPr>
            <w:tcW w:type="dxa" w:w="1728"/>
          </w:tcPr>
          <w:p>
            <w:r>
              <w:t>10–12</w:t>
            </w:r>
          </w:p>
        </w:tc>
        <w:tc>
          <w:tcPr>
            <w:tcW w:type="dxa" w:w="1728"/>
          </w:tcPr>
          <w:p>
            <w:r>
              <w:t>below control</w:t>
            </w:r>
          </w:p>
        </w:tc>
        <w:tc>
          <w:tcPr>
            <w:tcW w:type="dxa" w:w="1728"/>
          </w:tcPr>
          <w:p>
            <w:r>
              <w:t>v5b</w:t>
            </w:r>
          </w:p>
        </w:tc>
        <w:tc>
          <w:tcPr>
            <w:tcW w:type="dxa" w:w="1728"/>
          </w:tcPr>
          <w:p>
            <w:r>
              <w:t>−0.21% [−2.90, +2.48] ns</w:t>
            </w:r>
          </w:p>
        </w:tc>
        <w:tc>
          <w:tcPr>
            <w:tcW w:type="dxa" w:w="1728"/>
          </w:tcPr>
          <w:p>
            <w:r>
              <w:t>+0.96% ns</w:t>
            </w:r>
          </w:p>
        </w:tc>
      </w:tr>
      <w:tr>
        <w:tc>
          <w:tcPr>
            <w:tcW w:type="dxa" w:w="1728"/>
          </w:tcPr>
          <w:p>
            <w:r>
              <w:t>10–12</w:t>
            </w:r>
          </w:p>
        </w:tc>
        <w:tc>
          <w:tcPr>
            <w:tcW w:type="dxa" w:w="1728"/>
          </w:tcPr>
          <w:p>
            <w:r>
              <w:t>below control</w:t>
            </w:r>
          </w:p>
        </w:tc>
        <w:tc>
          <w:tcPr>
            <w:tcW w:type="dxa" w:w="1728"/>
          </w:tcPr>
          <w:p>
            <w:r>
              <w:t>v6</w:t>
            </w:r>
          </w:p>
        </w:tc>
        <w:tc>
          <w:tcPr>
            <w:tcW w:type="dxa" w:w="1728"/>
          </w:tcPr>
          <w:p>
            <w:r>
              <w:t>−6.43% [−9.19, −3.67] sig</w:t>
            </w:r>
          </w:p>
        </w:tc>
        <w:tc>
          <w:tcPr>
            <w:tcW w:type="dxa" w:w="1728"/>
          </w:tcPr>
          <w:p>
            <w:r>
              <w:t>+0.08% ns</w:t>
            </w:r>
          </w:p>
        </w:tc>
      </w:tr>
      <w:tr>
        <w:tc>
          <w:tcPr>
            <w:tcW w:type="dxa" w:w="1728"/>
          </w:tcPr>
          <w:p>
            <w:r>
              <w:t>10–12</w:t>
            </w:r>
          </w:p>
        </w:tc>
        <w:tc>
          <w:tcPr>
            <w:tcW w:type="dxa" w:w="1728"/>
          </w:tcPr>
          <w:p>
            <w:r>
              <w:t>at/above control</w:t>
            </w:r>
          </w:p>
        </w:tc>
        <w:tc>
          <w:tcPr>
            <w:tcW w:type="dxa" w:w="1728"/>
          </w:tcPr>
          <w:p>
            <w:r>
              <w:t>v4</w:t>
            </w:r>
          </w:p>
        </w:tc>
        <w:tc>
          <w:tcPr>
            <w:tcW w:type="dxa" w:w="1728"/>
          </w:tcPr>
          <w:p>
            <w:r>
              <w:t>+4.41% [+3.29, +5.53] sig</w:t>
            </w:r>
          </w:p>
        </w:tc>
        <w:tc>
          <w:tcPr>
            <w:tcW w:type="dxa" w:w="1728"/>
          </w:tcPr>
          <w:p>
            <w:r>
              <w:t>+0.13% ns</w:t>
            </w:r>
          </w:p>
        </w:tc>
      </w:tr>
      <w:tr>
        <w:tc>
          <w:tcPr>
            <w:tcW w:type="dxa" w:w="1728"/>
          </w:tcPr>
          <w:p>
            <w:r>
              <w:t>10–12</w:t>
            </w:r>
          </w:p>
        </w:tc>
        <w:tc>
          <w:tcPr>
            <w:tcW w:type="dxa" w:w="1728"/>
          </w:tcPr>
          <w:p>
            <w:r>
              <w:t>at/above control</w:t>
            </w:r>
          </w:p>
        </w:tc>
        <w:tc>
          <w:tcPr>
            <w:tcW w:type="dxa" w:w="1728"/>
          </w:tcPr>
          <w:p>
            <w:r>
              <w:t>v5b</w:t>
            </w:r>
          </w:p>
        </w:tc>
        <w:tc>
          <w:tcPr>
            <w:tcW w:type="dxa" w:w="1728"/>
          </w:tcPr>
          <w:p>
            <w:r>
              <w:t>+5.21% [+4.14, +6.27] sig</w:t>
            </w:r>
          </w:p>
        </w:tc>
        <w:tc>
          <w:tcPr>
            <w:tcW w:type="dxa" w:w="1728"/>
          </w:tcPr>
          <w:p>
            <w:r>
              <w:t>+0.16% ns</w:t>
            </w:r>
          </w:p>
        </w:tc>
      </w:tr>
      <w:tr>
        <w:tc>
          <w:tcPr>
            <w:tcW w:type="dxa" w:w="1728"/>
          </w:tcPr>
          <w:p>
            <w:r>
              <w:t>10–12</w:t>
            </w:r>
          </w:p>
        </w:tc>
        <w:tc>
          <w:tcPr>
            <w:tcW w:type="dxa" w:w="1728"/>
          </w:tcPr>
          <w:p>
            <w:r>
              <w:t>at/above control</w:t>
            </w:r>
          </w:p>
        </w:tc>
        <w:tc>
          <w:tcPr>
            <w:tcW w:type="dxa" w:w="1728"/>
          </w:tcPr>
          <w:p>
            <w:r>
              <w:t>v6</w:t>
            </w:r>
          </w:p>
        </w:tc>
        <w:tc>
          <w:tcPr>
            <w:tcW w:type="dxa" w:w="1728"/>
          </w:tcPr>
          <w:p>
            <w:r>
              <w:t>+6.73% [+5.67, +7.78] sig</w:t>
            </w:r>
          </w:p>
        </w:tc>
        <w:tc>
          <w:tcPr>
            <w:tcW w:type="dxa" w:w="1728"/>
          </w:tcPr>
          <w:p>
            <w:r>
              <w:t>−0.27% ns</w:t>
            </w:r>
          </w:p>
        </w:tc>
      </w:tr>
      <w:tr>
        <w:tc>
          <w:tcPr>
            <w:tcW w:type="dxa" w:w="1728"/>
          </w:tcPr>
          <w:p>
            <w:r>
              <w:t>13+</w:t>
            </w:r>
          </w:p>
        </w:tc>
        <w:tc>
          <w:tcPr>
            <w:tcW w:type="dxa" w:w="1728"/>
          </w:tcPr>
          <w:p>
            <w:r>
              <w:t>below control</w:t>
            </w:r>
          </w:p>
        </w:tc>
        <w:tc>
          <w:tcPr>
            <w:tcW w:type="dxa" w:w="1728"/>
          </w:tcPr>
          <w:p>
            <w:r>
              <w:t>v4</w:t>
            </w:r>
          </w:p>
        </w:tc>
        <w:tc>
          <w:tcPr>
            <w:tcW w:type="dxa" w:w="1728"/>
          </w:tcPr>
          <w:p>
            <w:r>
              <w:t>−3.89% [−4.85, −2.93] sig</w:t>
            </w:r>
          </w:p>
        </w:tc>
        <w:tc>
          <w:tcPr>
            <w:tcW w:type="dxa" w:w="1728"/>
          </w:tcPr>
          <w:p>
            <w:r>
              <w:t>−0.12% ns</w:t>
            </w:r>
          </w:p>
        </w:tc>
      </w:tr>
      <w:tr>
        <w:tc>
          <w:tcPr>
            <w:tcW w:type="dxa" w:w="1728"/>
          </w:tcPr>
          <w:p>
            <w:r>
              <w:t>13+</w:t>
            </w:r>
          </w:p>
        </w:tc>
        <w:tc>
          <w:tcPr>
            <w:tcW w:type="dxa" w:w="1728"/>
          </w:tcPr>
          <w:p>
            <w:r>
              <w:t>below control</w:t>
            </w:r>
          </w:p>
        </w:tc>
        <w:tc>
          <w:tcPr>
            <w:tcW w:type="dxa" w:w="1728"/>
          </w:tcPr>
          <w:p>
            <w:r>
              <w:t>v5b</w:t>
            </w:r>
          </w:p>
        </w:tc>
        <w:tc>
          <w:tcPr>
            <w:tcW w:type="dxa" w:w="1728"/>
          </w:tcPr>
          <w:p>
            <w:r>
              <w:t>−3.23% [−4.29, −2.17] sig</w:t>
            </w:r>
          </w:p>
        </w:tc>
        <w:tc>
          <w:tcPr>
            <w:tcW w:type="dxa" w:w="1728"/>
          </w:tcPr>
          <w:p>
            <w:r>
              <w:t>−1.14% [−2.01, −0.28] sig</w:t>
            </w:r>
          </w:p>
        </w:tc>
      </w:tr>
      <w:tr>
        <w:tc>
          <w:tcPr>
            <w:tcW w:type="dxa" w:w="1728"/>
          </w:tcPr>
          <w:p>
            <w:r>
              <w:t>13+</w:t>
            </w:r>
          </w:p>
        </w:tc>
        <w:tc>
          <w:tcPr>
            <w:tcW w:type="dxa" w:w="1728"/>
          </w:tcPr>
          <w:p>
            <w:r>
              <w:t>below control</w:t>
            </w:r>
          </w:p>
        </w:tc>
        <w:tc>
          <w:tcPr>
            <w:tcW w:type="dxa" w:w="1728"/>
          </w:tcPr>
          <w:p>
            <w:r>
              <w:t>v6</w:t>
            </w:r>
          </w:p>
        </w:tc>
        <w:tc>
          <w:tcPr>
            <w:tcW w:type="dxa" w:w="1728"/>
          </w:tcPr>
          <w:p>
            <w:r>
              <w:t>−2.68% [−3.88, −1.49] sig</w:t>
            </w:r>
          </w:p>
        </w:tc>
        <w:tc>
          <w:tcPr>
            <w:tcW w:type="dxa" w:w="1728"/>
          </w:tcPr>
          <w:p>
            <w:r>
              <w:t>−0.97% [−1.90, −0.04] sig</w:t>
            </w:r>
          </w:p>
        </w:tc>
      </w:tr>
      <w:tr>
        <w:tc>
          <w:tcPr>
            <w:tcW w:type="dxa" w:w="1728"/>
          </w:tcPr>
          <w:p>
            <w:r>
              <w:t>13+</w:t>
            </w:r>
          </w:p>
        </w:tc>
        <w:tc>
          <w:tcPr>
            <w:tcW w:type="dxa" w:w="1728"/>
          </w:tcPr>
          <w:p>
            <w:r>
              <w:t>at/above control</w:t>
            </w:r>
          </w:p>
        </w:tc>
        <w:tc>
          <w:tcPr>
            <w:tcW w:type="dxa" w:w="1728"/>
          </w:tcPr>
          <w:p>
            <w:r>
              <w:t>v4</w:t>
            </w:r>
          </w:p>
        </w:tc>
        <w:tc>
          <w:tcPr>
            <w:tcW w:type="dxa" w:w="1728"/>
          </w:tcPr>
          <w:p>
            <w:r>
              <w:t>+3.06% [+1.79, +4.32] sig</w:t>
            </w:r>
          </w:p>
        </w:tc>
        <w:tc>
          <w:tcPr>
            <w:tcW w:type="dxa" w:w="1728"/>
          </w:tcPr>
          <w:p>
            <w:r>
              <w:t>−0.19% ns</w:t>
            </w:r>
          </w:p>
        </w:tc>
      </w:tr>
      <w:tr>
        <w:tc>
          <w:tcPr>
            <w:tcW w:type="dxa" w:w="1728"/>
          </w:tcPr>
          <w:p>
            <w:r>
              <w:t>13+</w:t>
            </w:r>
          </w:p>
        </w:tc>
        <w:tc>
          <w:tcPr>
            <w:tcW w:type="dxa" w:w="1728"/>
          </w:tcPr>
          <w:p>
            <w:r>
              <w:t>at/above control</w:t>
            </w:r>
          </w:p>
        </w:tc>
        <w:tc>
          <w:tcPr>
            <w:tcW w:type="dxa" w:w="1728"/>
          </w:tcPr>
          <w:p>
            <w:r>
              <w:t>v5b</w:t>
            </w:r>
          </w:p>
        </w:tc>
        <w:tc>
          <w:tcPr>
            <w:tcW w:type="dxa" w:w="1728"/>
          </w:tcPr>
          <w:p>
            <w:r>
              <w:t>+2.60% [+1.48, +3.72] sig</w:t>
            </w:r>
          </w:p>
        </w:tc>
        <w:tc>
          <w:tcPr>
            <w:tcW w:type="dxa" w:w="1728"/>
          </w:tcPr>
          <w:p>
            <w:r>
              <w:t>+0.08% ns</w:t>
            </w:r>
          </w:p>
        </w:tc>
      </w:tr>
      <w:tr>
        <w:tc>
          <w:tcPr>
            <w:tcW w:type="dxa" w:w="1728"/>
          </w:tcPr>
          <w:p>
            <w:r>
              <w:t>13+</w:t>
            </w:r>
          </w:p>
        </w:tc>
        <w:tc>
          <w:tcPr>
            <w:tcW w:type="dxa" w:w="1728"/>
          </w:tcPr>
          <w:p>
            <w:r>
              <w:t>at/above control</w:t>
            </w:r>
          </w:p>
        </w:tc>
        <w:tc>
          <w:tcPr>
            <w:tcW w:type="dxa" w:w="1728"/>
          </w:tcPr>
          <w:p>
            <w:r>
              <w:t>v6</w:t>
            </w:r>
          </w:p>
        </w:tc>
        <w:tc>
          <w:tcPr>
            <w:tcW w:type="dxa" w:w="1728"/>
          </w:tcPr>
          <w:p>
            <w:r>
              <w:t>+2.62% [+1.62, +3.62] sig</w:t>
            </w:r>
          </w:p>
        </w:tc>
        <w:tc>
          <w:tcPr>
            <w:tcW w:type="dxa" w:w="1728"/>
          </w:tcPr>
          <w:p>
            <w:r>
              <w:t>−0.70% ns</w:t>
            </w:r>
          </w:p>
        </w:tc>
      </w:tr>
    </w:tbl>
    <w:p/>
    <w:p>
      <w:pPr/>
      <w:r>
        <w:t>This reproduces the v8 and OTT defect on mobile: titles served below control change unbudgeted revenue by −0.2% to −7.1% (the one near-zero cell is v5b 10–12, −0.21% ns), while titles kept at or above control gain +2.6% to +6.7%. TVT gives back a little on 13+ titles (v5b below −1.14% sig, v6 below −0.97% sig, v6 at/above −0.70% ns) and is flat elsewhere. A per-title floor (never serve fewer cue points than ABF2) helps mobile as much as OTT.</w:t>
      </w:r>
    </w:p>
    <w:p>
      <w:pPr>
        <w:pStyle w:val="Heading2"/>
      </w:pPr>
      <w:r>
        <w:t>2c. Movies versus episodes</w:t>
      </w:r>
    </w:p>
    <w:p>
      <w:pPr/>
      <w:r>
        <w:t>Device-level raw Welch, unbudgeted revenue/impressions, among devices who watched a targeted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+0.50% [−0.29, +1.28] ns</w:t>
            </w:r>
          </w:p>
        </w:tc>
        <w:tc>
          <w:tcPr>
            <w:tcW w:type="dxa" w:w="1440"/>
          </w:tcPr>
          <w:p>
            <w:r>
              <w:t>−0.03% ns</w:t>
            </w:r>
          </w:p>
        </w:tc>
        <w:tc>
          <w:tcPr>
            <w:tcW w:type="dxa" w:w="1440"/>
          </w:tcPr>
          <w:p>
            <w:r>
              <w:t>+0.64% ns</w:t>
            </w:r>
          </w:p>
        </w:tc>
        <w:tc>
          <w:tcPr>
            <w:tcW w:type="dxa" w:w="1440"/>
          </w:tcPr>
          <w:p>
            <w:r>
              <w:t>1,094,261</w:t>
            </w:r>
          </w:p>
        </w:tc>
      </w:tr>
      <w:tr>
        <w:tc>
          <w:tcPr>
            <w:tcW w:type="dxa" w:w="1440"/>
          </w:tcPr>
          <w:p>
            <w:r>
              <w:t>Movie</w:t>
            </w:r>
          </w:p>
        </w:tc>
        <w:tc>
          <w:tcPr>
            <w:tcW w:type="dxa" w:w="1440"/>
          </w:tcPr>
          <w:p>
            <w:r>
              <w:t>v5b</w:t>
            </w:r>
          </w:p>
        </w:tc>
        <w:tc>
          <w:tcPr>
            <w:tcW w:type="dxa" w:w="1440"/>
          </w:tcPr>
          <w:p>
            <w:r>
              <w:t>+2.26% [+1.47, +3.05] sig</w:t>
            </w:r>
          </w:p>
        </w:tc>
        <w:tc>
          <w:tcPr>
            <w:tcW w:type="dxa" w:w="1440"/>
          </w:tcPr>
          <w:p>
            <w:r>
              <w:t>−0.44% ns</w:t>
            </w:r>
          </w:p>
        </w:tc>
        <w:tc>
          <w:tcPr>
            <w:tcW w:type="dxa" w:w="1440"/>
          </w:tcPr>
          <w:p>
            <w:r>
              <w:t>+2.22% sig</w:t>
            </w:r>
          </w:p>
        </w:tc>
        <w:tc>
          <w:tcPr>
            <w:tcW w:type="dxa" w:w="1440"/>
          </w:tcPr>
          <w:p>
            <w:r>
              <w:t>1,093,545</w:t>
            </w:r>
          </w:p>
        </w:tc>
      </w:tr>
      <w:tr>
        <w:tc>
          <w:tcPr>
            <w:tcW w:type="dxa" w:w="1440"/>
          </w:tcPr>
          <w:p>
            <w:r>
              <w:t>Movie</w:t>
            </w:r>
          </w:p>
        </w:tc>
        <w:tc>
          <w:tcPr>
            <w:tcW w:type="dxa" w:w="1440"/>
          </w:tcPr>
          <w:p>
            <w:r>
              <w:t>v6</w:t>
            </w:r>
          </w:p>
        </w:tc>
        <w:tc>
          <w:tcPr>
            <w:tcW w:type="dxa" w:w="1440"/>
          </w:tcPr>
          <w:p>
            <w:r>
              <w:t>+3.81% [+3.01, +4.61] sig</w:t>
            </w:r>
          </w:p>
        </w:tc>
        <w:tc>
          <w:tcPr>
            <w:tcW w:type="dxa" w:w="1440"/>
          </w:tcPr>
          <w:p>
            <w:r>
              <w:t>−0.51% ns</w:t>
            </w:r>
          </w:p>
        </w:tc>
        <w:tc>
          <w:tcPr>
            <w:tcW w:type="dxa" w:w="1440"/>
          </w:tcPr>
          <w:p>
            <w:r>
              <w:t>+3.81% sig</w:t>
            </w:r>
          </w:p>
        </w:tc>
        <w:tc>
          <w:tcPr>
            <w:tcW w:type="dxa" w:w="1440"/>
          </w:tcPr>
          <w:p>
            <w:r>
              <w:t>1,094,949</w:t>
            </w:r>
          </w:p>
        </w:tc>
      </w:tr>
      <w:tr>
        <w:tc>
          <w:tcPr>
            <w:tcW w:type="dxa" w:w="1440"/>
          </w:tcPr>
          <w:p>
            <w:r>
              <w:t>Episode</w:t>
            </w:r>
          </w:p>
        </w:tc>
        <w:tc>
          <w:tcPr>
            <w:tcW w:type="dxa" w:w="1440"/>
          </w:tcPr>
          <w:p>
            <w:r>
              <w:t>v4</w:t>
            </w:r>
          </w:p>
        </w:tc>
        <w:tc>
          <w:tcPr>
            <w:tcW w:type="dxa" w:w="1440"/>
          </w:tcPr>
          <w:p>
            <w:r>
              <w:t>−5.91% [−7.11, −4.71] sig</w:t>
            </w:r>
          </w:p>
        </w:tc>
        <w:tc>
          <w:tcPr>
            <w:tcW w:type="dxa" w:w="1440"/>
          </w:tcPr>
          <w:p>
            <w:r>
              <w:t>+0.61% ns</w:t>
            </w:r>
          </w:p>
        </w:tc>
        <w:tc>
          <w:tcPr>
            <w:tcW w:type="dxa" w:w="1440"/>
          </w:tcPr>
          <w:p>
            <w:r>
              <w:t>−6.29% sig</w:t>
            </w:r>
          </w:p>
        </w:tc>
        <w:tc>
          <w:tcPr>
            <w:tcW w:type="dxa" w:w="1440"/>
          </w:tcPr>
          <w:p>
            <w:r>
              <w:t>649,619</w:t>
            </w:r>
          </w:p>
        </w:tc>
      </w:tr>
      <w:tr>
        <w:tc>
          <w:tcPr>
            <w:tcW w:type="dxa" w:w="1440"/>
          </w:tcPr>
          <w:p>
            <w:r>
              <w:t>Episode</w:t>
            </w:r>
          </w:p>
        </w:tc>
        <w:tc>
          <w:tcPr>
            <w:tcW w:type="dxa" w:w="1440"/>
          </w:tcPr>
          <w:p>
            <w:r>
              <w:t>v5b</w:t>
            </w:r>
          </w:p>
        </w:tc>
        <w:tc>
          <w:tcPr>
            <w:tcW w:type="dxa" w:w="1440"/>
          </w:tcPr>
          <w:p>
            <w:r>
              <w:t>+2.65% [+1.41, +3.90] sig</w:t>
            </w:r>
          </w:p>
        </w:tc>
        <w:tc>
          <w:tcPr>
            <w:tcW w:type="dxa" w:w="1440"/>
          </w:tcPr>
          <w:p>
            <w:r>
              <w:t>−0.37% ns</w:t>
            </w:r>
          </w:p>
        </w:tc>
        <w:tc>
          <w:tcPr>
            <w:tcW w:type="dxa" w:w="1440"/>
          </w:tcPr>
          <w:p>
            <w:r>
              <w:t>+2.84% sig</w:t>
            </w:r>
          </w:p>
        </w:tc>
        <w:tc>
          <w:tcPr>
            <w:tcW w:type="dxa" w:w="1440"/>
          </w:tcPr>
          <w:p>
            <w:r>
              <w:t>650,001</w:t>
            </w:r>
          </w:p>
        </w:tc>
      </w:tr>
      <w:tr>
        <w:tc>
          <w:tcPr>
            <w:tcW w:type="dxa" w:w="1440"/>
          </w:tcPr>
          <w:p>
            <w:r>
              <w:t>Episode</w:t>
            </w:r>
          </w:p>
        </w:tc>
        <w:tc>
          <w:tcPr>
            <w:tcW w:type="dxa" w:w="1440"/>
          </w:tcPr>
          <w:p>
            <w:r>
              <w:t>v6</w:t>
            </w:r>
          </w:p>
        </w:tc>
        <w:tc>
          <w:tcPr>
            <w:tcW w:type="dxa" w:w="1440"/>
          </w:tcPr>
          <w:p>
            <w:r>
              <w:t>−6.79% [−7.99, −5.60] sig</w:t>
            </w:r>
          </w:p>
        </w:tc>
        <w:tc>
          <w:tcPr>
            <w:tcW w:type="dxa" w:w="1440"/>
          </w:tcPr>
          <w:p>
            <w:r>
              <w:t>−0.07% ns</w:t>
            </w:r>
          </w:p>
        </w:tc>
        <w:tc>
          <w:tcPr>
            <w:tcW w:type="dxa" w:w="1440"/>
          </w:tcPr>
          <w:p>
            <w:r>
              <w:t>−7.07% sig</w:t>
            </w:r>
          </w:p>
        </w:tc>
        <w:tc>
          <w:tcPr>
            <w:tcW w:type="dxa" w:w="1440"/>
          </w:tcPr>
          <w:p>
            <w:r>
              <w:t>651,166</w:t>
            </w:r>
          </w:p>
        </w:tc>
      </w:tr>
    </w:tbl>
    <w:p/>
    <w:p>
      <w:pPr/>
      <w:r>
        <w:t>Control n: movies 1,095,529 · episodes 650,395. Episodes split the arms: v5b +2.65% sig, v4 −5.91% sig, v6 −6.79% sig. On OTT v4 and v6 also lose on episodes (−1.26% sig, −1.45% sig) and v5b is −0.14% ns; on mobile v5b gains. Movies gain on v6 and v5b; v4 is +0.50% ns. TVT is not significant for any arm or type.</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mobile TVT. The mobile ad config is not in the project files, so two gate profiles are shown: A = OTT base gates, and B = the most tolerant OTT ladder step. Observed mobile midrolls start earlier than OTT (median first episode break ~508s vs ~652s on OTT, measured on a 2026-10-12/13 sample), so B is the closer approximation. Profile B also fits the measured per-band impression lifts better (r = 0.42 vs 0.33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+134.7%</w:t>
            </w:r>
          </w:p>
        </w:tc>
        <w:tc>
          <w:tcPr>
            <w:tcW w:type="dxa" w:w="1728"/>
          </w:tcPr>
          <w:p>
            <w:r>
              <w:t>+120.9%</w:t>
            </w:r>
          </w:p>
        </w:tc>
        <w:tc>
          <w:tcPr>
            <w:tcW w:type="dxa" w:w="1728"/>
          </w:tcPr>
          <w:p>
            <w:r>
              <w:t>+99.8%</w:t>
            </w:r>
          </w:p>
        </w:tc>
      </w:tr>
      <w:tr>
        <w:tc>
          <w:tcPr>
            <w:tcW w:type="dxa" w:w="1728"/>
          </w:tcPr>
          <w:p>
            <w:r>
              <w:t>Movie</w:t>
            </w:r>
          </w:p>
        </w:tc>
        <w:tc>
          <w:tcPr>
            <w:tcW w:type="dxa" w:w="1728"/>
          </w:tcPr>
          <w:p>
            <w:r>
              <w:t>4–6</w:t>
            </w:r>
          </w:p>
        </w:tc>
        <w:tc>
          <w:tcPr>
            <w:tcW w:type="dxa" w:w="1728"/>
          </w:tcPr>
          <w:p>
            <w:r>
              <w:t>+32.9%</w:t>
            </w:r>
          </w:p>
        </w:tc>
        <w:tc>
          <w:tcPr>
            <w:tcW w:type="dxa" w:w="1728"/>
          </w:tcPr>
          <w:p>
            <w:r>
              <w:t>+22.8%</w:t>
            </w:r>
          </w:p>
        </w:tc>
        <w:tc>
          <w:tcPr>
            <w:tcW w:type="dxa" w:w="1728"/>
          </w:tcPr>
          <w:p>
            <w:r>
              <w:t>+35.1%</w:t>
            </w:r>
          </w:p>
        </w:tc>
      </w:tr>
      <w:tr>
        <w:tc>
          <w:tcPr>
            <w:tcW w:type="dxa" w:w="1728"/>
          </w:tcPr>
          <w:p>
            <w:r>
              <w:t>Movie</w:t>
            </w:r>
          </w:p>
        </w:tc>
        <w:tc>
          <w:tcPr>
            <w:tcW w:type="dxa" w:w="1728"/>
          </w:tcPr>
          <w:p>
            <w:r>
              <w:t>7–9</w:t>
            </w:r>
          </w:p>
        </w:tc>
        <w:tc>
          <w:tcPr>
            <w:tcW w:type="dxa" w:w="1728"/>
          </w:tcPr>
          <w:p>
            <w:r>
              <w:t>+10.3%</w:t>
            </w:r>
          </w:p>
        </w:tc>
        <w:tc>
          <w:tcPr>
            <w:tcW w:type="dxa" w:w="1728"/>
          </w:tcPr>
          <w:p>
            <w:r>
              <w:t>+15.2%</w:t>
            </w:r>
          </w:p>
        </w:tc>
        <w:tc>
          <w:tcPr>
            <w:tcW w:type="dxa" w:w="1728"/>
          </w:tcPr>
          <w:p>
            <w:r>
              <w:t>+15.5%</w:t>
            </w:r>
          </w:p>
        </w:tc>
      </w:tr>
      <w:tr>
        <w:tc>
          <w:tcPr>
            <w:tcW w:type="dxa" w:w="1728"/>
          </w:tcPr>
          <w:p>
            <w:r>
              <w:t>Movie</w:t>
            </w:r>
          </w:p>
        </w:tc>
        <w:tc>
          <w:tcPr>
            <w:tcW w:type="dxa" w:w="1728"/>
          </w:tcPr>
          <w:p>
            <w:r>
              <w:t>10–12</w:t>
            </w:r>
          </w:p>
        </w:tc>
        <w:tc>
          <w:tcPr>
            <w:tcW w:type="dxa" w:w="1728"/>
          </w:tcPr>
          <w:p>
            <w:r>
              <w:t>+3.0%</w:t>
            </w:r>
          </w:p>
        </w:tc>
        <w:tc>
          <w:tcPr>
            <w:tcW w:type="dxa" w:w="1728"/>
          </w:tcPr>
          <w:p>
            <w:r>
              <w:t>+7.5%</w:t>
            </w:r>
          </w:p>
        </w:tc>
        <w:tc>
          <w:tcPr>
            <w:tcW w:type="dxa" w:w="1728"/>
          </w:tcPr>
          <w:p>
            <w:r>
              <w:t>+7.8%</w:t>
            </w:r>
          </w:p>
        </w:tc>
      </w:tr>
      <w:tr>
        <w:tc>
          <w:tcPr>
            <w:tcW w:type="dxa" w:w="1728"/>
          </w:tcPr>
          <w:p>
            <w:r>
              <w:t>Movie</w:t>
            </w:r>
          </w:p>
        </w:tc>
        <w:tc>
          <w:tcPr>
            <w:tcW w:type="dxa" w:w="1728"/>
          </w:tcPr>
          <w:p>
            <w:r>
              <w:t>13+</w:t>
            </w:r>
          </w:p>
        </w:tc>
        <w:tc>
          <w:tcPr>
            <w:tcW w:type="dxa" w:w="1728"/>
          </w:tcPr>
          <w:p>
            <w:r>
              <w:t>−4.4%</w:t>
            </w:r>
          </w:p>
        </w:tc>
        <w:tc>
          <w:tcPr>
            <w:tcW w:type="dxa" w:w="1728"/>
          </w:tcPr>
          <w:p>
            <w:r>
              <w:t>−1.5%</w:t>
            </w:r>
          </w:p>
        </w:tc>
        <w:tc>
          <w:tcPr>
            <w:tcW w:type="dxa" w:w="1728"/>
          </w:tcPr>
          <w:p>
            <w:r>
              <w:t>−0.6%</w:t>
            </w:r>
          </w:p>
        </w:tc>
      </w:tr>
      <w:tr>
        <w:tc>
          <w:tcPr>
            <w:tcW w:type="dxa" w:w="1728"/>
          </w:tcPr>
          <w:p>
            <w:r>
              <w:t>Episode</w:t>
            </w:r>
          </w:p>
        </w:tc>
        <w:tc>
          <w:tcPr>
            <w:tcW w:type="dxa" w:w="1728"/>
          </w:tcPr>
          <w:p>
            <w:r>
              <w:t>1–3</w:t>
            </w:r>
          </w:p>
        </w:tc>
        <w:tc>
          <w:tcPr>
            <w:tcW w:type="dxa" w:w="1728"/>
          </w:tcPr>
          <w:p>
            <w:r>
              <w:t>+5.4%</w:t>
            </w:r>
          </w:p>
        </w:tc>
        <w:tc>
          <w:tcPr>
            <w:tcW w:type="dxa" w:w="1728"/>
          </w:tcPr>
          <w:p>
            <w:r>
              <w:t>+10.2%</w:t>
            </w:r>
          </w:p>
        </w:tc>
        <w:tc>
          <w:tcPr>
            <w:tcW w:type="dxa" w:w="1728"/>
          </w:tcPr>
          <w:p>
            <w:r>
              <w:t>+5.2%</w:t>
            </w:r>
          </w:p>
        </w:tc>
      </w:tr>
      <w:tr>
        <w:tc>
          <w:tcPr>
            <w:tcW w:type="dxa" w:w="1728"/>
          </w:tcPr>
          <w:p>
            <w:r>
              <w:t>Episode</w:t>
            </w:r>
          </w:p>
        </w:tc>
        <w:tc>
          <w:tcPr>
            <w:tcW w:type="dxa" w:w="1728"/>
          </w:tcPr>
          <w:p>
            <w:r>
              <w:t>4–6</w:t>
            </w:r>
          </w:p>
        </w:tc>
        <w:tc>
          <w:tcPr>
            <w:tcW w:type="dxa" w:w="1728"/>
          </w:tcPr>
          <w:p>
            <w:r>
              <w:t>+1.2%</w:t>
            </w:r>
          </w:p>
        </w:tc>
        <w:tc>
          <w:tcPr>
            <w:tcW w:type="dxa" w:w="1728"/>
          </w:tcPr>
          <w:p>
            <w:r>
              <w:t>+6.8%</w:t>
            </w:r>
          </w:p>
        </w:tc>
        <w:tc>
          <w:tcPr>
            <w:tcW w:type="dxa" w:w="1728"/>
          </w:tcPr>
          <w:p>
            <w:r>
              <w:t>+1.2%</w:t>
            </w:r>
          </w:p>
        </w:tc>
      </w:tr>
      <w:tr>
        <w:tc>
          <w:tcPr>
            <w:tcW w:type="dxa" w:w="1728"/>
          </w:tcPr>
          <w:p>
            <w:r>
              <w:t>Episode</w:t>
            </w:r>
          </w:p>
        </w:tc>
        <w:tc>
          <w:tcPr>
            <w:tcW w:type="dxa" w:w="1728"/>
          </w:tcPr>
          <w:p>
            <w:r>
              <w:t>7–9</w:t>
            </w:r>
          </w:p>
        </w:tc>
        <w:tc>
          <w:tcPr>
            <w:tcW w:type="dxa" w:w="1728"/>
          </w:tcPr>
          <w:p>
            <w:r>
              <w:t>−3.9%</w:t>
            </w:r>
          </w:p>
        </w:tc>
        <w:tc>
          <w:tcPr>
            <w:tcW w:type="dxa" w:w="1728"/>
          </w:tcPr>
          <w:p>
            <w:r>
              <w:t>−0.5%</w:t>
            </w:r>
          </w:p>
        </w:tc>
        <w:tc>
          <w:tcPr>
            <w:tcW w:type="dxa" w:w="1728"/>
          </w:tcPr>
          <w:p>
            <w:r>
              <w:t>−4.1%</w:t>
            </w:r>
          </w:p>
        </w:tc>
      </w:tr>
      <w:tr>
        <w:tc>
          <w:tcPr>
            <w:tcW w:type="dxa" w:w="1728"/>
          </w:tcPr>
          <w:p>
            <w:r>
              <w:t>Episode</w:t>
            </w:r>
          </w:p>
        </w:tc>
        <w:tc>
          <w:tcPr>
            <w:tcW w:type="dxa" w:w="1728"/>
          </w:tcPr>
          <w:p>
            <w:r>
              <w:t>10–12</w:t>
            </w:r>
          </w:p>
        </w:tc>
        <w:tc>
          <w:tcPr>
            <w:tcW w:type="dxa" w:w="1728"/>
          </w:tcPr>
          <w:p>
            <w:r>
              <w:t>−4.1%</w:t>
            </w:r>
          </w:p>
        </w:tc>
        <w:tc>
          <w:tcPr>
            <w:tcW w:type="dxa" w:w="1728"/>
          </w:tcPr>
          <w:p>
            <w:r>
              <w:t>−2.8%</w:t>
            </w:r>
          </w:p>
        </w:tc>
        <w:tc>
          <w:tcPr>
            <w:tcW w:type="dxa" w:w="1728"/>
          </w:tcPr>
          <w:p>
            <w:r>
              <w:t>−4.2%</w:t>
            </w:r>
          </w:p>
        </w:tc>
      </w:tr>
      <w:tr>
        <w:tc>
          <w:tcPr>
            <w:tcW w:type="dxa" w:w="1728"/>
          </w:tcPr>
          <w:p>
            <w:r>
              <w:t>Episode</w:t>
            </w:r>
          </w:p>
        </w:tc>
        <w:tc>
          <w:tcPr>
            <w:tcW w:type="dxa" w:w="1728"/>
          </w:tcPr>
          <w:p>
            <w:r>
              <w:t>13+</w:t>
            </w:r>
          </w:p>
        </w:tc>
        <w:tc>
          <w:tcPr>
            <w:tcW w:type="dxa" w:w="1728"/>
          </w:tcPr>
          <w:p>
            <w:r>
              <w:t>−7.7%</w:t>
            </w:r>
          </w:p>
        </w:tc>
        <w:tc>
          <w:tcPr>
            <w:tcW w:type="dxa" w:w="1728"/>
          </w:tcPr>
          <w:p>
            <w:r>
              <w:t>−10.3%</w:t>
            </w:r>
          </w:p>
        </w:tc>
        <w:tc>
          <w:tcPr>
            <w:tcW w:type="dxa" w:w="1728"/>
          </w:tcPr>
          <w:p>
            <w:r>
              <w:t>−7.9%</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+12.4%</w:t>
            </w:r>
          </w:p>
        </w:tc>
        <w:tc>
          <w:tcPr>
            <w:tcW w:type="dxa" w:w="1728"/>
          </w:tcPr>
          <w:p>
            <w:r>
              <w:t>+45.5%</w:t>
            </w:r>
          </w:p>
        </w:tc>
        <w:tc>
          <w:tcPr>
            <w:tcW w:type="dxa" w:w="1728"/>
          </w:tcPr>
          <w:p>
            <w:r>
              <w:t>+10.4%</w:t>
            </w:r>
          </w:p>
        </w:tc>
      </w:tr>
      <w:tr>
        <w:tc>
          <w:tcPr>
            <w:tcW w:type="dxa" w:w="1728"/>
          </w:tcPr>
          <w:p>
            <w:r>
              <w:t>Movie</w:t>
            </w:r>
          </w:p>
        </w:tc>
        <w:tc>
          <w:tcPr>
            <w:tcW w:type="dxa" w:w="1728"/>
          </w:tcPr>
          <w:p>
            <w:r>
              <w:t>4–6</w:t>
            </w:r>
          </w:p>
        </w:tc>
        <w:tc>
          <w:tcPr>
            <w:tcW w:type="dxa" w:w="1728"/>
          </w:tcPr>
          <w:p>
            <w:r>
              <w:t>+22.8%</w:t>
            </w:r>
          </w:p>
        </w:tc>
        <w:tc>
          <w:tcPr>
            <w:tcW w:type="dxa" w:w="1728"/>
          </w:tcPr>
          <w:p>
            <w:r>
              <w:t>+27.5%</w:t>
            </w:r>
          </w:p>
        </w:tc>
        <w:tc>
          <w:tcPr>
            <w:tcW w:type="dxa" w:w="1728"/>
          </w:tcPr>
          <w:p>
            <w:r>
              <w:t>+24.7%</w:t>
            </w:r>
          </w:p>
        </w:tc>
      </w:tr>
      <w:tr>
        <w:tc>
          <w:tcPr>
            <w:tcW w:type="dxa" w:w="1728"/>
          </w:tcPr>
          <w:p>
            <w:r>
              <w:t>Movie</w:t>
            </w:r>
          </w:p>
        </w:tc>
        <w:tc>
          <w:tcPr>
            <w:tcW w:type="dxa" w:w="1728"/>
          </w:tcPr>
          <w:p>
            <w:r>
              <w:t>7–9</w:t>
            </w:r>
          </w:p>
        </w:tc>
        <w:tc>
          <w:tcPr>
            <w:tcW w:type="dxa" w:w="1728"/>
          </w:tcPr>
          <w:p>
            <w:r>
              <w:t>+3.2%</w:t>
            </w:r>
          </w:p>
        </w:tc>
        <w:tc>
          <w:tcPr>
            <w:tcW w:type="dxa" w:w="1728"/>
          </w:tcPr>
          <w:p>
            <w:r>
              <w:t>+10.5%</w:t>
            </w:r>
          </w:p>
        </w:tc>
        <w:tc>
          <w:tcPr>
            <w:tcW w:type="dxa" w:w="1728"/>
          </w:tcPr>
          <w:p>
            <w:r>
              <w:t>+10.4%</w:t>
            </w:r>
          </w:p>
        </w:tc>
      </w:tr>
      <w:tr>
        <w:tc>
          <w:tcPr>
            <w:tcW w:type="dxa" w:w="1728"/>
          </w:tcPr>
          <w:p>
            <w:r>
              <w:t>Movie</w:t>
            </w:r>
          </w:p>
        </w:tc>
        <w:tc>
          <w:tcPr>
            <w:tcW w:type="dxa" w:w="1728"/>
          </w:tcPr>
          <w:p>
            <w:r>
              <w:t>10–12</w:t>
            </w:r>
          </w:p>
        </w:tc>
        <w:tc>
          <w:tcPr>
            <w:tcW w:type="dxa" w:w="1728"/>
          </w:tcPr>
          <w:p>
            <w:r>
              <w:t>−0.6%</w:t>
            </w:r>
          </w:p>
        </w:tc>
        <w:tc>
          <w:tcPr>
            <w:tcW w:type="dxa" w:w="1728"/>
          </w:tcPr>
          <w:p>
            <w:r>
              <w:t>+3.3%</w:t>
            </w:r>
          </w:p>
        </w:tc>
        <w:tc>
          <w:tcPr>
            <w:tcW w:type="dxa" w:w="1728"/>
          </w:tcPr>
          <w:p>
            <w:r>
              <w:t>+5.8%</w:t>
            </w:r>
          </w:p>
        </w:tc>
      </w:tr>
      <w:tr>
        <w:tc>
          <w:tcPr>
            <w:tcW w:type="dxa" w:w="1728"/>
          </w:tcPr>
          <w:p>
            <w:r>
              <w:t>Movie</w:t>
            </w:r>
          </w:p>
        </w:tc>
        <w:tc>
          <w:tcPr>
            <w:tcW w:type="dxa" w:w="1728"/>
          </w:tcPr>
          <w:p>
            <w:r>
              <w:t>13+</w:t>
            </w:r>
          </w:p>
        </w:tc>
        <w:tc>
          <w:tcPr>
            <w:tcW w:type="dxa" w:w="1728"/>
          </w:tcPr>
          <w:p>
            <w:r>
              <w:t>−5.2%</w:t>
            </w:r>
          </w:p>
        </w:tc>
        <w:tc>
          <w:tcPr>
            <w:tcW w:type="dxa" w:w="1728"/>
          </w:tcPr>
          <w:p>
            <w:r>
              <w:t>−1.8%</w:t>
            </w:r>
          </w:p>
        </w:tc>
        <w:tc>
          <w:tcPr>
            <w:tcW w:type="dxa" w:w="1728"/>
          </w:tcPr>
          <w:p>
            <w:r>
              <w:t>+0.1%</w:t>
            </w:r>
          </w:p>
        </w:tc>
      </w:tr>
      <w:tr>
        <w:tc>
          <w:tcPr>
            <w:tcW w:type="dxa" w:w="1728"/>
          </w:tcPr>
          <w:p>
            <w:r>
              <w:t>Episode</w:t>
            </w:r>
          </w:p>
        </w:tc>
        <w:tc>
          <w:tcPr>
            <w:tcW w:type="dxa" w:w="1728"/>
          </w:tcPr>
          <w:p>
            <w:r>
              <w:t>1–3</w:t>
            </w:r>
          </w:p>
        </w:tc>
        <w:tc>
          <w:tcPr>
            <w:tcW w:type="dxa" w:w="1728"/>
          </w:tcPr>
          <w:p>
            <w:r>
              <w:t>+4.4%</w:t>
            </w:r>
          </w:p>
        </w:tc>
        <w:tc>
          <w:tcPr>
            <w:tcW w:type="dxa" w:w="1728"/>
          </w:tcPr>
          <w:p>
            <w:r>
              <w:t>+20.4%</w:t>
            </w:r>
          </w:p>
        </w:tc>
        <w:tc>
          <w:tcPr>
            <w:tcW w:type="dxa" w:w="1728"/>
          </w:tcPr>
          <w:p>
            <w:r>
              <w:t>+4.3%</w:t>
            </w:r>
          </w:p>
        </w:tc>
      </w:tr>
      <w:tr>
        <w:tc>
          <w:tcPr>
            <w:tcW w:type="dxa" w:w="1728"/>
          </w:tcPr>
          <w:p>
            <w:r>
              <w:t>Episode</w:t>
            </w:r>
          </w:p>
        </w:tc>
        <w:tc>
          <w:tcPr>
            <w:tcW w:type="dxa" w:w="1728"/>
          </w:tcPr>
          <w:p>
            <w:r>
              <w:t>4–6</w:t>
            </w:r>
          </w:p>
        </w:tc>
        <w:tc>
          <w:tcPr>
            <w:tcW w:type="dxa" w:w="1728"/>
          </w:tcPr>
          <w:p>
            <w:r>
              <w:t>−1.8%</w:t>
            </w:r>
          </w:p>
        </w:tc>
        <w:tc>
          <w:tcPr>
            <w:tcW w:type="dxa" w:w="1728"/>
          </w:tcPr>
          <w:p>
            <w:r>
              <w:t>+11.8%</w:t>
            </w:r>
          </w:p>
        </w:tc>
        <w:tc>
          <w:tcPr>
            <w:tcW w:type="dxa" w:w="1728"/>
          </w:tcPr>
          <w:p>
            <w:r>
              <w:t>−1.8%</w:t>
            </w:r>
          </w:p>
        </w:tc>
      </w:tr>
      <w:tr>
        <w:tc>
          <w:tcPr>
            <w:tcW w:type="dxa" w:w="1728"/>
          </w:tcPr>
          <w:p>
            <w:r>
              <w:t>Episode</w:t>
            </w:r>
          </w:p>
        </w:tc>
        <w:tc>
          <w:tcPr>
            <w:tcW w:type="dxa" w:w="1728"/>
          </w:tcPr>
          <w:p>
            <w:r>
              <w:t>7–9</w:t>
            </w:r>
          </w:p>
        </w:tc>
        <w:tc>
          <w:tcPr>
            <w:tcW w:type="dxa" w:w="1728"/>
          </w:tcPr>
          <w:p>
            <w:r>
              <w:t>−2.4%</w:t>
            </w:r>
          </w:p>
        </w:tc>
        <w:tc>
          <w:tcPr>
            <w:tcW w:type="dxa" w:w="1728"/>
          </w:tcPr>
          <w:p>
            <w:r>
              <w:t>+11.1%</w:t>
            </w:r>
          </w:p>
        </w:tc>
        <w:tc>
          <w:tcPr>
            <w:tcW w:type="dxa" w:w="1728"/>
          </w:tcPr>
          <w:p>
            <w:r>
              <w:t>−2.5%</w:t>
            </w:r>
          </w:p>
        </w:tc>
      </w:tr>
      <w:tr>
        <w:tc>
          <w:tcPr>
            <w:tcW w:type="dxa" w:w="1728"/>
          </w:tcPr>
          <w:p>
            <w:r>
              <w:t>Episode</w:t>
            </w:r>
          </w:p>
        </w:tc>
        <w:tc>
          <w:tcPr>
            <w:tcW w:type="dxa" w:w="1728"/>
          </w:tcPr>
          <w:p>
            <w:r>
              <w:t>10–12</w:t>
            </w:r>
          </w:p>
        </w:tc>
        <w:tc>
          <w:tcPr>
            <w:tcW w:type="dxa" w:w="1728"/>
          </w:tcPr>
          <w:p>
            <w:r>
              <w:t>−3.9%</w:t>
            </w:r>
          </w:p>
        </w:tc>
        <w:tc>
          <w:tcPr>
            <w:tcW w:type="dxa" w:w="1728"/>
          </w:tcPr>
          <w:p>
            <w:r>
              <w:t>+4.9%</w:t>
            </w:r>
          </w:p>
        </w:tc>
        <w:tc>
          <w:tcPr>
            <w:tcW w:type="dxa" w:w="1728"/>
          </w:tcPr>
          <w:p>
            <w:r>
              <w:t>−3.8%</w:t>
            </w:r>
          </w:p>
        </w:tc>
      </w:tr>
      <w:tr>
        <w:tc>
          <w:tcPr>
            <w:tcW w:type="dxa" w:w="1728"/>
          </w:tcPr>
          <w:p>
            <w:r>
              <w:t>Episode</w:t>
            </w:r>
          </w:p>
        </w:tc>
        <w:tc>
          <w:tcPr>
            <w:tcW w:type="dxa" w:w="1728"/>
          </w:tcPr>
          <w:p>
            <w:r>
              <w:t>13+</w:t>
            </w:r>
          </w:p>
        </w:tc>
        <w:tc>
          <w:tcPr>
            <w:tcW w:type="dxa" w:w="1728"/>
          </w:tcPr>
          <w:p>
            <w:r>
              <w:t>−5.6%</w:t>
            </w:r>
          </w:p>
        </w:tc>
        <w:tc>
          <w:tcPr>
            <w:tcW w:type="dxa" w:w="1728"/>
          </w:tcPr>
          <w:p>
            <w:r>
              <w:t>+5.0%</w:t>
            </w:r>
          </w:p>
        </w:tc>
        <w:tc>
          <w:tcPr>
            <w:tcW w:type="dxa" w:w="1728"/>
          </w:tcPr>
          <w:p>
            <w:r>
              <w:t>−5.8%</w:t>
            </w:r>
          </w:p>
        </w:tc>
      </w:tr>
    </w:tbl>
    <w:p/>
    <w:p>
      <w:pPr/>
      <w:r>
        <w:t>Under the tolerant profile, v5b's front-loaded cues fire more episode breaks in every band (+5.0% to +20.4%), while v4/v6 fire fewer from 4–6 up (v4 −1.8% at 4–6 to −5.6% at 13+) — the same split as the measured episode result. The replay does not reproduce the sparse-band (1–3) loss for v4/v6: it predicts +4.4% / +4.3% on episodes where mobile measures −7.58% sig / −7.94% sig. The replay assumes full viewing; on mobile only 68.2% of ABF2 episode views reach ABF2's ~6.3-min first cue and 65.1% reach v4/v6's ~9.7-min first cue (OTT: 91.4% / 89.7%). Losing the first break on ~5% of views matters most on sparse titles, where it is a large share of all breaks — a likely but unproven part of the 1–3 loss.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+0.1%</w:t>
            </w:r>
          </w:p>
        </w:tc>
        <w:tc>
          <w:tcPr>
            <w:tcW w:type="dxa" w:w="1440"/>
          </w:tcPr>
          <w:p>
            <w:r>
              <w:t>−4.4%</w:t>
            </w:r>
          </w:p>
        </w:tc>
        <w:tc>
          <w:tcPr>
            <w:tcW w:type="dxa" w:w="1440"/>
          </w:tcPr>
          <w:p>
            <w:r>
              <w:t>−1.1%</w:t>
            </w:r>
          </w:p>
        </w:tc>
        <w:tc>
          <w:tcPr>
            <w:tcW w:type="dxa" w:w="1440"/>
          </w:tcPr>
          <w:p>
            <w:r>
              <w:t>+5.6%</w:t>
            </w:r>
          </w:p>
        </w:tc>
      </w:tr>
      <w:tr>
        <w:tc>
          <w:tcPr>
            <w:tcW w:type="dxa" w:w="1440"/>
          </w:tcPr>
          <w:p>
            <w:r>
              <w:t>A (OTT base)</w:t>
            </w:r>
          </w:p>
        </w:tc>
        <w:tc>
          <w:tcPr>
            <w:tcW w:type="dxa" w:w="1440"/>
          </w:tcPr>
          <w:p>
            <w:r>
              <w:t>v5b</w:t>
            </w:r>
          </w:p>
        </w:tc>
        <w:tc>
          <w:tcPr>
            <w:tcW w:type="dxa" w:w="1440"/>
          </w:tcPr>
          <w:p>
            <w:r>
              <w:t>+4.5%</w:t>
            </w:r>
          </w:p>
        </w:tc>
        <w:tc>
          <w:tcPr>
            <w:tcW w:type="dxa" w:w="1440"/>
          </w:tcPr>
          <w:p>
            <w:r>
              <w:t>−1.1%</w:t>
            </w:r>
          </w:p>
        </w:tc>
        <w:tc>
          <w:tcPr>
            <w:tcW w:type="dxa" w:w="1440"/>
          </w:tcPr>
          <w:p>
            <w:r>
              <w:t>−2.1%</w:t>
            </w:r>
          </w:p>
        </w:tc>
        <w:tc>
          <w:tcPr>
            <w:tcW w:type="dxa" w:w="1440"/>
          </w:tcPr>
          <w:p>
            <w:r>
              <w:t>+7.6%</w:t>
            </w:r>
          </w:p>
        </w:tc>
      </w:tr>
      <w:tr>
        <w:tc>
          <w:tcPr>
            <w:tcW w:type="dxa" w:w="1440"/>
          </w:tcPr>
          <w:p>
            <w:r>
              <w:t>A (OTT base)</w:t>
            </w:r>
          </w:p>
        </w:tc>
        <w:tc>
          <w:tcPr>
            <w:tcW w:type="dxa" w:w="1440"/>
          </w:tcPr>
          <w:p>
            <w:r>
              <w:t>v6</w:t>
            </w:r>
          </w:p>
        </w:tc>
        <w:tc>
          <w:tcPr>
            <w:tcW w:type="dxa" w:w="1440"/>
          </w:tcPr>
          <w:p>
            <w:r>
              <w:t>+0.0%</w:t>
            </w:r>
          </w:p>
        </w:tc>
        <w:tc>
          <w:tcPr>
            <w:tcW w:type="dxa" w:w="1440"/>
          </w:tcPr>
          <w:p>
            <w:r>
              <w:t>−4.4%</w:t>
            </w:r>
          </w:p>
        </w:tc>
        <w:tc>
          <w:tcPr>
            <w:tcW w:type="dxa" w:w="1440"/>
          </w:tcPr>
          <w:p>
            <w:r>
              <w:t>−1.1%</w:t>
            </w:r>
          </w:p>
        </w:tc>
        <w:tc>
          <w:tcPr>
            <w:tcW w:type="dxa" w:w="1440"/>
          </w:tcPr>
          <w:p>
            <w:r>
              <w:t>+5.5%</w:t>
            </w:r>
          </w:p>
        </w:tc>
      </w:tr>
      <w:tr>
        <w:tc>
          <w:tcPr>
            <w:tcW w:type="dxa" w:w="1440"/>
          </w:tcPr>
          <w:p>
            <w:r>
              <w:t>B (tolerant)</w:t>
            </w:r>
          </w:p>
        </w:tc>
        <w:tc>
          <w:tcPr>
            <w:tcW w:type="dxa" w:w="1440"/>
          </w:tcPr>
          <w:p>
            <w:r>
              <w:t>v4</w:t>
            </w:r>
          </w:p>
        </w:tc>
        <w:tc>
          <w:tcPr>
            <w:tcW w:type="dxa" w:w="1440"/>
          </w:tcPr>
          <w:p>
            <w:r>
              <w:t>−1.0%</w:t>
            </w:r>
          </w:p>
        </w:tc>
        <w:tc>
          <w:tcPr>
            <w:tcW w:type="dxa" w:w="1440"/>
          </w:tcPr>
          <w:p>
            <w:r>
              <w:t>−4.5%</w:t>
            </w:r>
          </w:p>
        </w:tc>
        <w:tc>
          <w:tcPr>
            <w:tcW w:type="dxa" w:w="1440"/>
          </w:tcPr>
          <w:p>
            <w:r>
              <w:t>−2.1%</w:t>
            </w:r>
          </w:p>
        </w:tc>
        <w:tc>
          <w:tcPr>
            <w:tcW w:type="dxa" w:w="1440"/>
          </w:tcPr>
          <w:p>
            <w:r>
              <w:t>+5.6%</w:t>
            </w:r>
          </w:p>
        </w:tc>
      </w:tr>
      <w:tr>
        <w:tc>
          <w:tcPr>
            <w:tcW w:type="dxa" w:w="1440"/>
          </w:tcPr>
          <w:p>
            <w:r>
              <w:t>B (tolerant)</w:t>
            </w:r>
          </w:p>
        </w:tc>
        <w:tc>
          <w:tcPr>
            <w:tcW w:type="dxa" w:w="1440"/>
          </w:tcPr>
          <w:p>
            <w:r>
              <w:t>v5b</w:t>
            </w:r>
          </w:p>
        </w:tc>
        <w:tc>
          <w:tcPr>
            <w:tcW w:type="dxa" w:w="1440"/>
          </w:tcPr>
          <w:p>
            <w:r>
              <w:t>+12.8%</w:t>
            </w:r>
          </w:p>
        </w:tc>
        <w:tc>
          <w:tcPr>
            <w:tcW w:type="dxa" w:w="1440"/>
          </w:tcPr>
          <w:p>
            <w:r>
              <w:t>+2.9%</w:t>
            </w:r>
          </w:p>
        </w:tc>
        <w:tc>
          <w:tcPr>
            <w:tcW w:type="dxa" w:w="1440"/>
          </w:tcPr>
          <w:p>
            <w:r>
              <w:t>−1.8%</w:t>
            </w:r>
          </w:p>
        </w:tc>
        <w:tc>
          <w:tcPr>
            <w:tcW w:type="dxa" w:w="1440"/>
          </w:tcPr>
          <w:p>
            <w:r>
              <w:t>+11.8%</w:t>
            </w:r>
          </w:p>
        </w:tc>
      </w:tr>
      <w:tr>
        <w:tc>
          <w:tcPr>
            <w:tcW w:type="dxa" w:w="1440"/>
          </w:tcPr>
          <w:p>
            <w:r>
              <w:t>B (tolerant)</w:t>
            </w:r>
          </w:p>
        </w:tc>
        <w:tc>
          <w:tcPr>
            <w:tcW w:type="dxa" w:w="1440"/>
          </w:tcPr>
          <w:p>
            <w:r>
              <w:t>v6</w:t>
            </w:r>
          </w:p>
        </w:tc>
        <w:tc>
          <w:tcPr>
            <w:tcW w:type="dxa" w:w="1440"/>
          </w:tcPr>
          <w:p>
            <w:r>
              <w:t>−1.0%</w:t>
            </w:r>
          </w:p>
        </w:tc>
        <w:tc>
          <w:tcPr>
            <w:tcW w:type="dxa" w:w="1440"/>
          </w:tcPr>
          <w:p>
            <w:r>
              <w:t>−4.5%</w:t>
            </w:r>
          </w:p>
        </w:tc>
        <w:tc>
          <w:tcPr>
            <w:tcW w:type="dxa" w:w="1440"/>
          </w:tcPr>
          <w:p>
            <w:r>
              <w:t>−2.1%</w:t>
            </w:r>
          </w:p>
        </w:tc>
        <w:tc>
          <w:tcPr>
            <w:tcW w:type="dxa" w:w="1440"/>
          </w:tcPr>
          <w:p>
            <w:r>
              <w:t>+5.6%</w:t>
            </w:r>
          </w:p>
        </w:tc>
      </w:tr>
    </w:tbl>
    <w:p/>
    <w:p>
      <w:pPr/>
      <w:r>
        <w:t>For v4/v6 the episode deficit is mostly a count miss (dense episodes pruned below control) under both profiles, so the per-title floor is the main lever. For v5b the tolerant profile turns the count term positive — v5b's ABF2-density lists fire more breaks when gates are looser.</w:t>
      </w:r>
    </w:p>
    <w:p>
      <w:pPr>
        <w:pStyle w:val="Heading1"/>
      </w:pPr>
      <w:r>
        <w:t>3. Decision frame</w:t>
      </w:r>
    </w:p>
    <w:p>
      <w:pPr/>
      <w:r>
        <w:t>Early read, same window as OTT. Judge the money on total revenue; on mobile every revenue pool moves the same direction, so the read is unambiguous. The one new wrinkle is v5b's small TVT dip.</w:t>
      </w:r>
    </w:p>
    <w:p>
      <w:pPr>
        <w:pStyle w:val="ListBullet"/>
      </w:pPr>
      <w:r>
        <w:rPr>
          <w:b/>
        </w:rPr>
        <w:t>v5b is the only arm to carry forward on mobile.</w:t>
      </w:r>
      <w:r>
        <w:t xml:space="preserve"> Total revenue +0.676% sig, on-title unbudgeted +2.431% sig, impressions up. TVT is −0.422% sig (was −0.397% sig before this refresh) — small, but now nominally significant in ITT, Active and ToT, so it is the engagement item to track as the window grows.</w:t>
      </w:r>
    </w:p>
    <w:p>
      <w:pPr>
        <w:pStyle w:val="ListBullet"/>
      </w:pPr>
      <w:r>
        <w:rPr>
          <w:b/>
        </w:rPr>
        <w:t>v4 and v6 should not ship to mobile as-is.</w:t>
      </w:r>
      <w:r>
        <w:t xml:space="preserve"> Both lose significantly (−1.660% sig, −1.277% sig), driven by episodes and sparse titles. The OTT recommendation for v6 does not carry over.</w:t>
      </w:r>
    </w:p>
    <w:p>
      <w:pPr>
        <w:pStyle w:val="ListBullet"/>
      </w:pPr>
      <w:r>
        <w:rPr>
          <w:b/>
        </w:rPr>
        <w:t>The fixes from OTT apply, plus one.</w:t>
      </w:r>
      <w:r>
        <w:t xml:space="preserve"> A per-title floor removes the below-control loss (validated here too). An earlier first episode cue likely matters more on mobile, where more viewers stop early — v5b, which front-loads cues, is the arm that gains on episodes.</w:t>
      </w:r>
    </w:p>
    <w:p>
      <w:pPr>
        <w:pStyle w:val="ListBullet"/>
      </w:pPr>
      <w:r>
        <w:rPr>
          <w:b/>
        </w:rPr>
        <w:t>Open items.</w:t>
      </w:r>
      <w:r>
        <w:t xml:space="preserve"> Get the mobile ad config to replace the approximate gate profiles; re-read after a longer window — mobile intervals are ~2.7× wider than OTT's.</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−1.916% sig</w:t>
            </w:r>
          </w:p>
        </w:tc>
        <w:tc>
          <w:tcPr>
            <w:tcW w:type="dxa" w:w="2880"/>
          </w:tcPr>
          <w:p>
            <w:r>
              <w:t>−1.373% sig</w:t>
            </w:r>
          </w:p>
        </w:tc>
      </w:tr>
      <w:tr>
        <w:tc>
          <w:tcPr>
            <w:tcW w:type="dxa" w:w="2880"/>
          </w:tcPr>
          <w:p>
            <w:r>
              <w:t>v5b</w:t>
            </w:r>
          </w:p>
        </w:tc>
        <w:tc>
          <w:tcPr>
            <w:tcW w:type="dxa" w:w="2880"/>
          </w:tcPr>
          <w:p>
            <w:r>
              <w:t>+0.924% sig</w:t>
            </w:r>
          </w:p>
        </w:tc>
        <w:tc>
          <w:tcPr>
            <w:tcW w:type="dxa" w:w="2880"/>
          </w:tcPr>
          <w:p>
            <w:r>
              <w:t>+0.634% sig</w:t>
            </w:r>
          </w:p>
        </w:tc>
      </w:tr>
      <w:tr>
        <w:tc>
          <w:tcPr>
            <w:tcW w:type="dxa" w:w="2880"/>
          </w:tcPr>
          <w:p>
            <w:r>
              <w:t>v6</w:t>
            </w:r>
          </w:p>
        </w:tc>
        <w:tc>
          <w:tcPr>
            <w:tcW w:type="dxa" w:w="2880"/>
          </w:tcPr>
          <w:p>
            <w:r>
              <w:t>−1.435% sig</w:t>
            </w:r>
          </w:p>
        </w:tc>
        <w:tc>
          <w:tcPr>
            <w:tcW w:type="dxa" w:w="2880"/>
          </w:tcPr>
          <w:p>
            <w:r>
              <w:t>−1.139% sig</w:t>
            </w:r>
          </w:p>
        </w:tc>
      </w:tr>
    </w:tbl>
    <w:p/>
    <w:p>
      <w:pPr/>
      <w:r>
        <w:t>For v5b both pools rise (budgeted +0.924% sig, unbudgeted +0.634% sig), so the extra ads are new inventory filled by both demand types — a cleaner incrementality signal than OTT, where budgeted rises far more than unbudgeted. For v4 and v6 both pools fall: fewer fireable breaks, not a demand shift.</w:t>
      </w:r>
    </w:p>
    <w:p>
      <w:pPr>
        <w:pStyle w:val="Heading1"/>
      </w:pPr>
      <w:r>
        <w:t>Appendix C — Methods</w:t>
      </w:r>
    </w:p>
    <w:p>
      <w:pPr>
        <w:pStyle w:val="ListBullet"/>
      </w:pPr>
      <w:r>
        <w:rPr>
          <w:b/>
        </w:rPr>
        <w:t>Assignment.</w:t>
      </w:r>
      <w:r>
        <w:t xml:space="preserve"> One variant per device from `core_dev.statsig.exposures` for `ads_mobile_abf_3_v10_abf2_titles_only`; no device has more than one variant. Outcomes require event time at/after first exposure.</w:t>
      </w:r>
    </w:p>
    <w:p>
      <w:pPr>
        <w:pStyle w:val="ListBullet"/>
      </w:pPr>
      <w:r>
        <w:rPr>
          <w:b/>
        </w:rPr>
        <w:t>Window.</w:t>
      </w:r>
      <w:r>
        <w:t xml:space="preserve"> Outcomes 2026-10-09 through 2026-10-19, capped at 2026-10-20 00:00 UTC. CUPED covariate 2026-09-25 → 2026-10-08. Active = ≥1 video session since first exposure in-window. ToT = ≥1 second of TVT on a targeted title (the 224,739 titles in `ml_dev.tmp.abf3_v10_targeted_titles`) in-window.</w:t>
      </w:r>
    </w:p>
    <w:p>
      <w:pPr>
        <w:pStyle w:val="ListBullet"/>
      </w:pPr>
      <w:r>
        <w:rPr>
          <w:b/>
        </w:rPr>
        <w:t>Title set, metrics, estimator.</w:t>
      </w:r>
      <w:r>
        <w:t xml:space="preserve"> Identical to the OTT report. On-title, ToT, band, type and below-control tables use the 224,739 targeted titles (`ml_dev.tmp.abf3_v10_targeted_titles`: ABF2-catalog titles — movie/episode streams with non-empty `cue_points_abf`, excluding `abf3_pruned_v8` and the v8 title table — that were served v10 cue points); the other ~74.5k catalog titles carry identical cues in every arm and are excluded (versions before 2026-10-20 included them and understated on-title and band lifts);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re-run as a SQL port of `v10_gate_replay.py` (`gate_replay_all.sql`; validated against the 10-15 notebook run),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the table now also holds extra arms that are not part of v10 and were excluded) — catalog-level, so §B.4 and the first-cue table match the OTT report.</w:t>
      </w:r>
    </w:p>
    <w:p>
      <w:pPr>
        <w:pStyle w:val="ListBullet"/>
      </w:pPr>
      <w:r>
        <w:rPr>
          <w:b/>
        </w:rPr>
        <w:t>Code.</w:t>
      </w:r>
      <w:r>
        <w:t xml:space="preserve"> Queries and scripts in `abf-experiment/v10_verification/` (refresh outputs in `results_20261020/`).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