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(OTT)</w:t>
      </w:r>
    </w:p>
    <w:p>
      <w:r>
        <w:rPr>
          <w:b/>
        </w:rPr>
        <w:t>Experiment:</w:t>
      </w:r>
      <w:r>
        <w:t xml:space="preserve"> `ads_abf_3_v10_abf2_titles_only` (OTT) · device-randomized, four arms at 25% each · restarted 2026-10-09 23:30 UTC.</w:t>
      </w:r>
    </w:p>
    <w:p>
      <w:r>
        <w:rPr>
          <w:b/>
        </w:rPr>
        <w:t>Arms:</w:t>
      </w:r>
      <w:r>
        <w:t xml:space="preserve"> Control = ABF2 human cue points. </w:t>
      </w:r>
      <w:r>
        <w:rPr>
          <w:b/>
        </w:rPr>
        <w:t>v4</w:t>
      </w:r>
      <w:r>
        <w:t xml:space="preserve"> = T1 equal-load pruner (`abf3_pruner_t1_equal_load_v4.py`). </w:t>
      </w:r>
      <w:r>
        <w:rPr>
          <w:b/>
        </w:rPr>
        <w:t>v6</w:t>
      </w:r>
      <w:r>
        <w:t xml:space="preserve"> = T2, equal load plus about +7% ad load on movies of 60–120 minutes (`abf3_pruner_t2_targeted_load_v6.py`). </w:t>
      </w:r>
      <w:r>
        <w:rPr>
          <w:b/>
        </w:rPr>
        <w:t>v5b</w:t>
      </w:r>
      <w:r>
        <w:t xml:space="preserve"> = T3, ABF2-like cue counts placed where the OTT ad config accepts requests (`abf3_pruner_t3_abf2_density_v5b.py`).</w:t>
      </w:r>
    </w:p>
    <w:p>
      <w:r>
        <w:rPr>
          <w:b/>
        </w:rPr>
        <w:t>Window:</w:t>
      </w:r>
      <w:r>
        <w:t xml:space="preserve"> </w:t>
      </w:r>
      <w:r>
        <w:rPr>
          <w:b/>
        </w:rPr>
        <w:t>2026-10-09 → 2026-10-19 (complete days)</w:t>
      </w:r>
      <w:r>
        <w:t xml:space="preserve"> — outcomes are capped at 2026-10-20 00:00 UTC; the exposures table is loaded through the end of 2026-10-19 (2026-10-20 is a partial day and is excluded). The first version of this report (to 2026-10-15 10:00 EDT) was matched to the Statsig scorecard; this one has not been re-reconciled with it. This is an early read of a live test, not a graduation read.</w:t>
      </w:r>
    </w:p>
    <w:p>
      <w:r>
        <w:rPr>
          <w:b/>
        </w:rPr>
        <w:t>Method:</w:t>
      </w:r>
      <w:r>
        <w:t xml:space="preserve"> device-level CUPED, pre-period 2026-09-25 → 2026-10-08, Welch 95% intervals. ~10.48M devices/arm (ITT). Revenue is reported three ways — </w:t>
      </w:r>
      <w:r>
        <w:rPr>
          <w:b/>
        </w:rPr>
        <w:t>total</w:t>
      </w:r>
      <w:r>
        <w:t xml:space="preserve"> (all billable ads, the platform topline), </w:t>
      </w:r>
      <w:r>
        <w:rPr>
          <w:b/>
        </w:rPr>
        <w:t>budgeted</w:t>
      </w:r>
      <w:r>
        <w:t xml:space="preserve"> (campaigns that carry a budget: direct, guaranteed, PMP), and </w:t>
      </w:r>
      <w:r>
        <w:rPr>
          <w:b/>
        </w:rPr>
        <w:t>unbudgeted</w:t>
      </w:r>
      <w:r>
        <w:t xml:space="preserve"> (open-auction only, the v8 report’s metric) — plus ad impressions and TVT. Definitions are in Appendix C. Report date 2026-10-20.</w:t>
      </w:r>
    </w:p>
    <w:p>
      <w:r>
        <w:rPr>
          <w:b/>
        </w:rPr>
        <w:t>Refresh (2026-10-20):</w:t>
      </w:r>
      <w:r>
        <w:t xml:space="preserve"> Window extended from the end of 2026-10-18 to the end of 2026-10-19 (every complete day loaded in the exposures table); ITT devices/arm 9.74M → 10.48M. </w:t>
      </w:r>
      <w:r>
        <w:rPr>
          <w:b/>
        </w:rPr>
        <w:t>Title set corrected:</w:t>
      </w:r>
      <w:r>
        <w:t xml:space="preserve"> the on-title, ToT, band, type and below-control tables now use the 224,739 targeted titles (`ml_dev.tmp.abf3_v10_targeted_titles`, the titles served v10 cue points) instead of the 299k live ABF2 catalog, which included about 74.5k titles that carry identical cues in every arm and so diluted every on-title and band lift. On-title ITT unbudgeted revenue, previous version → now (title set and window both changed): v4 −0.262% → −0.319%; v5b +0.685% → +0.993%; v6 +0.615% → +0.920%. Global ITT total revenue, previous version → now: v4 +0.015% → +0.025%; v5b +1.068% → +1.113%; v6 +0.484% → +0.529%. TVT: v4 +0.131% → +0.113%; v5b −0.166% → −0.162%; v6 −0.051% → −0.025%. No global ITT significance call changed. The corrected on-title and global numbers are consistent with an independent OTT analysis of the same experiment (a slightly different window). Every table below except §B.5's pacing analysis was re-run.</w:t>
      </w:r>
    </w:p>
    <w:p>
      <w:pPr>
        <w:pStyle w:val="Heading1"/>
      </w:pPr>
      <w:r>
        <w:t>TL;DR</w:t>
      </w:r>
    </w:p>
    <w:p>
      <w:pPr>
        <w:pStyle w:val="ListBullet"/>
      </w:pPr>
      <w:r>
        <w:rPr>
          <w:b/>
        </w:rPr>
        <w:t>v5b is the money arm. It lifts total platform revenue about 1.1% with a small TVT dip (−0.16%).</w:t>
      </w:r>
      <w:r>
        <w:t xml:space="preserve"> ~10.48M devices per arm. The earlier read reconciled with the Statsig scorecard (Appendix C); that check has not been re-run on this window.</w:t>
      </w:r>
    </w:p>
    <w:p>
      <w:pPr>
        <w:pStyle w:val="ListBullet"/>
      </w:pPr>
      <w:r>
        <w:rPr>
          <w:b/>
        </w:rPr>
        <w:t>Read revenue on the total, not just the open auction.</w:t>
      </w:r>
      <w:r>
        <w:t xml:space="preserve"> All three pruners serve more ads; the new ads are filled mostly by </w:t>
      </w:r>
      <w:r>
        <w:rPr>
          <w:b/>
        </w:rPr>
        <w:t>budgeted / guaranteed</w:t>
      </w:r>
      <w:r>
        <w:t xml:space="preserve"> demand, not the open auction. v5b’s open-auction (unbudgeted) gain is now significant (+0.314%) but </w:t>
      </w:r>
      <w:r>
        <w:rPr>
          <w:b/>
        </w:rPr>
        <w:t>total</w:t>
      </w:r>
      <w:r>
        <w:t xml:space="preserve"> revenue rises ~4× as much (+1.113%). Ranking on </w:t>
      </w:r>
      <w:r>
        <w:rPr>
          <w:b/>
        </w:rPr>
        <w:t>total revenue: v5b &gt; v6 &gt; v4</w:t>
      </w:r>
      <w:r>
        <w:t>.</w:t>
      </w:r>
    </w:p>
    <w:p>
      <w:pPr>
        <w:pStyle w:val="ListBullet"/>
      </w:pPr>
      <w:r>
        <w:rPr>
          <w:b/>
        </w:rPr>
        <w:t>v5b: total revenue +1.113% sig, budgeted +2.861% sig, all-ad impressions +1.467% sig.</w:t>
      </w:r>
      <w:r>
        <w:t xml:space="preserve"> On the 224,739 targeted titles, unbudgeted revenue is +0.993% sig (on-title tables previously used the wider ABF2 catalog, which diluted it to +0.685%). TVT is a small negative (−0.162% global, −0.231% on power viewers; non-power −0.099% ns) — minor, but the one engagement item to watch since v5b adds the most ad load.</w:t>
      </w:r>
    </w:p>
    <w:p>
      <w:pPr>
        <w:pStyle w:val="ListBullet"/>
      </w:pPr>
      <w:r>
        <w:rPr>
          <w:b/>
        </w:rPr>
        <w:t>v6: total revenue +0.529% sig, budgeted +0.936% sig, all-ad impressions +0.697% sig, TVT flat (−0.025% ns).</w:t>
      </w:r>
      <w:r>
        <w:t xml:space="preserve"> On-title unbudgeted revenue +0.920% sig; global unbudgeted is now also significant (+0.356% sig). The safer middle arm.</w:t>
      </w:r>
    </w:p>
    <w:p>
      <w:pPr>
        <w:pStyle w:val="ListBullet"/>
      </w:pPr>
      <w:r>
        <w:rPr>
          <w:b/>
        </w:rPr>
        <w:t>v4: roughly parity globally, negative on the treated titles.</w:t>
      </w:r>
      <w:r>
        <w:t xml:space="preserve"> Global total revenue +0.025% ns and global unbudgeted −0.055% ns (budgeted +0.190% sig) — close to its break-even design — but on the targeted titles themselves it loses (on-title unbudgeted −0.319% sig). Weakest of the three; TVT +0.113% ns.</w:t>
      </w:r>
    </w:p>
    <w:p>
      <w:pPr>
        <w:pStyle w:val="ListBullet"/>
      </w:pPr>
      <w:r>
        <w:rPr>
          <w:b/>
        </w:rPr>
        <w:t>TVT is nearly flat everywhere.</w:t>
      </w:r>
      <w:r>
        <w:t xml:space="preserve"> With ~10.5M devices/arm the only significant global TVT move is v5b (−0.16%); v4 (+0.11%) and v6 (−0.03%) are not significant (v4’s significant +0.20% on the 10-15 read did not hold as the window grew). No arm shows a material engagement cost; v5b’s small negative is the only mild watch-item.</w:t>
      </w:r>
    </w:p>
    <w:p>
      <w:pPr>
        <w:pStyle w:val="ListBullet"/>
      </w:pPr>
      <w:r>
        <w:rPr>
          <w:b/>
        </w:rPr>
        <w:t>Movies carry the gains; episodes leak — and the leak is understood and fixable.</w:t>
      </w:r>
      <w:r>
        <w:t xml:space="preserve"> On movies every arm gains unbudgeted revenue (v4 +0.76%, v5b +2.40%, v6 +3.67%, TVT flat). On episodes v4 (−1.26%) and v6 (−1.45%) lose and v5b is −0.14% ns (its episode impressions are −0.30% ns); TVT flat. The served cue lists (`ml_dev.tmp.abf3_new_pruner_cuepoints`) and the gate replay show why: all three arms prune dense episodes below the ABF2 count on ~69–85% of titles, and v4/v6 also place the first episode ad ~3.5 min late. A per-title floor plus an earlier episode cue would recover it (§2b, §2c, §B.4).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rPr>
                <w:b/>
              </w:rPr>
              <w:t>v4</w:t>
            </w:r>
            <w:r>
              <w:t xml:space="preserve"> (equal load)</w:t>
            </w:r>
          </w:p>
        </w:tc>
        <w:tc>
          <w:tcPr>
            <w:tcW w:type="dxa" w:w="1440"/>
          </w:tcPr>
          <w:p>
            <w:r>
              <w:t>+0.025% [−0.115, +0.166] ns</w:t>
            </w:r>
          </w:p>
        </w:tc>
        <w:tc>
          <w:tcPr>
            <w:tcW w:type="dxa" w:w="1440"/>
          </w:tcPr>
          <w:p>
            <w:r>
              <w:t>+0.190% sig</w:t>
            </w:r>
          </w:p>
        </w:tc>
        <w:tc>
          <w:tcPr>
            <w:tcW w:type="dxa" w:w="1440"/>
          </w:tcPr>
          <w:p>
            <w:r>
              <w:t>−0.055% ns</w:t>
            </w:r>
          </w:p>
        </w:tc>
        <w:tc>
          <w:tcPr>
            <w:tcW w:type="dxa" w:w="1440"/>
          </w:tcPr>
          <w:p>
            <w:r>
              <w:t>+0.121% ns</w:t>
            </w:r>
          </w:p>
        </w:tc>
        <w:tc>
          <w:tcPr>
            <w:tcW w:type="dxa" w:w="1440"/>
          </w:tcPr>
          <w:p>
            <w:r>
              <w:t>+0.113% ns</w:t>
            </w:r>
          </w:p>
        </w:tc>
      </w:tr>
      <w:tr>
        <w:tc>
          <w:tcPr>
            <w:tcW w:type="dxa" w:w="1440"/>
          </w:tcPr>
          <w:p>
            <w:r>
              <w:rPr>
                <w:b/>
              </w:rPr>
              <w:t>v6</w:t>
            </w:r>
            <w:r>
              <w:t xml:space="preserve"> (movies 60–120 min, +7% load)</w:t>
            </w:r>
          </w:p>
        </w:tc>
        <w:tc>
          <w:tcPr>
            <w:tcW w:type="dxa" w:w="1440"/>
          </w:tcPr>
          <w:p>
            <w:r>
              <w:rPr>
                <w:b/>
              </w:rPr>
              <w:t>+0.529% [+0.388, +0.669] sig</w:t>
            </w:r>
            <w:r/>
          </w:p>
        </w:tc>
        <w:tc>
          <w:tcPr>
            <w:tcW w:type="dxa" w:w="1440"/>
          </w:tcPr>
          <w:p>
            <w:r>
              <w:rPr>
                <w:b/>
              </w:rPr>
              <w:t>+0.936% sig</w:t>
            </w:r>
            <w:r/>
          </w:p>
        </w:tc>
        <w:tc>
          <w:tcPr>
            <w:tcW w:type="dxa" w:w="1440"/>
          </w:tcPr>
          <w:p>
            <w:r>
              <w:t>+0.356% sig</w:t>
            </w:r>
          </w:p>
        </w:tc>
        <w:tc>
          <w:tcPr>
            <w:tcW w:type="dxa" w:w="1440"/>
          </w:tcPr>
          <w:p>
            <w:r>
              <w:rPr>
                <w:b/>
              </w:rPr>
              <w:t>+0.697% sig</w:t>
            </w:r>
            <w:r/>
          </w:p>
        </w:tc>
        <w:tc>
          <w:tcPr>
            <w:tcW w:type="dxa" w:w="1440"/>
          </w:tcPr>
          <w:p>
            <w:r>
              <w:t>−0.025% ns</w:t>
            </w:r>
          </w:p>
        </w:tc>
      </w:tr>
      <w:tr>
        <w:tc>
          <w:tcPr>
            <w:tcW w:type="dxa" w:w="1440"/>
          </w:tcPr>
          <w:p>
            <w:r>
              <w:rPr>
                <w:b/>
              </w:rPr>
              <w:t>v5b</w:t>
            </w:r>
            <w:r>
              <w:t xml:space="preserve"> (ABF2 density, gate-aware placement)</w:t>
            </w:r>
          </w:p>
        </w:tc>
        <w:tc>
          <w:tcPr>
            <w:tcW w:type="dxa" w:w="1440"/>
          </w:tcPr>
          <w:p>
            <w:r>
              <w:rPr>
                <w:b/>
              </w:rPr>
              <w:t>+1.113% [+0.972, +1.253] sig</w:t>
            </w:r>
            <w:r/>
          </w:p>
        </w:tc>
        <w:tc>
          <w:tcPr>
            <w:tcW w:type="dxa" w:w="1440"/>
          </w:tcPr>
          <w:p>
            <w:r>
              <w:rPr>
                <w:b/>
              </w:rPr>
              <w:t>+2.861% sig</w:t>
            </w:r>
            <w:r/>
          </w:p>
        </w:tc>
        <w:tc>
          <w:tcPr>
            <w:tcW w:type="dxa" w:w="1440"/>
          </w:tcPr>
          <w:p>
            <w:r>
              <w:t>+0.314% sig</w:t>
            </w:r>
          </w:p>
        </w:tc>
        <w:tc>
          <w:tcPr>
            <w:tcW w:type="dxa" w:w="1440"/>
          </w:tcPr>
          <w:p>
            <w:r>
              <w:rPr>
                <w:b/>
              </w:rPr>
              <w:t>+1.467% sig</w:t>
            </w:r>
            <w:r/>
          </w:p>
        </w:tc>
        <w:tc>
          <w:tcPr>
            <w:tcW w:type="dxa" w:w="1440"/>
          </w:tcPr>
          <w:p>
            <w:r>
              <w:t>−0.162% sig</w:t>
            </w:r>
          </w:p>
        </w:tc>
      </w:tr>
    </w:tbl>
    <w:p/>
    <w:p>
      <w:r>
        <w:t>All figures are global ITT CUPED lifts versus Control. The offline projections (v4 ≈ parity, v6 ≈ +0.43% revenue, v5b ≈ +1.31% revenue) were modelled on the open auction; the live total-revenue gains land mostly through budgeted backfill instead (v5b open-auction +0.31% vs the +1.31% projection). Direction is stable across ITT, Active, and ToT. Significance calls are nominal 95%, not adjusted for sequential looks or three arms. The Statsig scorecard widened intervals ~1.8× on the 10-15 read; applying that here would make v5b’s TVT dip not significant while v5b’s and v6’s total-revenue gains stay significant (approximation, not re-checked against Statsig for this window).</w:t>
      </w:r>
    </w:p>
    <w:p>
      <w:pPr>
        <w:pStyle w:val="Heading1"/>
      </w:pPr>
      <w:r>
        <w:t>1. Headline (2026-10-09 → 2026-10-19)</w:t>
      </w:r>
    </w:p>
    <w:p>
      <w:r>
        <w:t>All figures are CUPED lifts versus Control, 95% intervals. Global is across every title an exposed device watched. On-title is the same devices, restricted to the 224,739 targeted titles — the ABF2-catalog titles that were served v10 cue points (`ml_dev.tmp.abf3_v10_targeted_titles`). ToT is defined on the same set. “Sig” means the interval excludes zero (nominal p &lt; 0.05).</w:t>
      </w:r>
    </w:p>
    <w:p>
      <w:r>
        <w:rPr>
          <w:b/>
        </w:rPr>
        <w:t>Revenue, three ways (global ITT — the headline money table).</w:t>
      </w:r>
      <w:r>
        <w:t xml:space="preserv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+0.025% [−0.115, +0.166] ns</w:t>
            </w:r>
          </w:p>
        </w:tc>
        <w:tc>
          <w:tcPr>
            <w:tcW w:type="dxa" w:w="1728"/>
          </w:tcPr>
          <w:p>
            <w:r>
              <w:t>+0.190% [+0.034, +0.347] sig</w:t>
            </w:r>
          </w:p>
        </w:tc>
        <w:tc>
          <w:tcPr>
            <w:tcW w:type="dxa" w:w="1728"/>
          </w:tcPr>
          <w:p>
            <w:r>
              <w:t>−0.055% [−0.200, +0.090] ns</w:t>
            </w:r>
          </w:p>
        </w:tc>
        <w:tc>
          <w:tcPr>
            <w:tcW w:type="dxa" w:w="1728"/>
          </w:tcPr>
          <w:p>
            <w:r>
              <w:t>+0.121% [−0.015, +0.257] ns</w:t>
            </w:r>
          </w:p>
        </w:tc>
      </w:tr>
      <w:tr>
        <w:tc>
          <w:tcPr>
            <w:tcW w:type="dxa" w:w="1728"/>
          </w:tcPr>
          <w:p>
            <w:r>
              <w:t>v5b</w:t>
            </w:r>
          </w:p>
        </w:tc>
        <w:tc>
          <w:tcPr>
            <w:tcW w:type="dxa" w:w="1728"/>
          </w:tcPr>
          <w:p>
            <w:r>
              <w:rPr>
                <w:b/>
              </w:rPr>
              <w:t>+1.113% [+0.972, +1.253] sig</w:t>
            </w:r>
            <w:r/>
          </w:p>
        </w:tc>
        <w:tc>
          <w:tcPr>
            <w:tcW w:type="dxa" w:w="1728"/>
          </w:tcPr>
          <w:p>
            <w:r>
              <w:rPr>
                <w:b/>
              </w:rPr>
              <w:t>+2.861% [+2.703, +3.019] sig</w:t>
            </w:r>
            <w:r/>
          </w:p>
        </w:tc>
        <w:tc>
          <w:tcPr>
            <w:tcW w:type="dxa" w:w="1728"/>
          </w:tcPr>
          <w:p>
            <w:r>
              <w:t>+0.314% [+0.169, +0.459] sig</w:t>
            </w:r>
          </w:p>
        </w:tc>
        <w:tc>
          <w:tcPr>
            <w:tcW w:type="dxa" w:w="1728"/>
          </w:tcPr>
          <w:p>
            <w:r>
              <w:rPr>
                <w:b/>
              </w:rPr>
              <w:t>+1.467% [+1.330, +1.605] sig</w:t>
            </w:r>
            <w:r/>
          </w:p>
        </w:tc>
      </w:tr>
      <w:tr>
        <w:tc>
          <w:tcPr>
            <w:tcW w:type="dxa" w:w="1728"/>
          </w:tcPr>
          <w:p>
            <w:r>
              <w:t>v6</w:t>
            </w:r>
          </w:p>
        </w:tc>
        <w:tc>
          <w:tcPr>
            <w:tcW w:type="dxa" w:w="1728"/>
          </w:tcPr>
          <w:p>
            <w:r>
              <w:rPr>
                <w:b/>
              </w:rPr>
              <w:t>+0.529% [+0.388, +0.669] sig</w:t>
            </w:r>
            <w:r/>
          </w:p>
        </w:tc>
        <w:tc>
          <w:tcPr>
            <w:tcW w:type="dxa" w:w="1728"/>
          </w:tcPr>
          <w:p>
            <w:r>
              <w:rPr>
                <w:b/>
              </w:rPr>
              <w:t>+0.936% [+0.779, +1.092] sig</w:t>
            </w:r>
            <w:r/>
          </w:p>
        </w:tc>
        <w:tc>
          <w:tcPr>
            <w:tcW w:type="dxa" w:w="1728"/>
          </w:tcPr>
          <w:p>
            <w:r>
              <w:rPr>
                <w:b/>
              </w:rPr>
              <w:t>+0.356% [+0.211, +0.501] sig</w:t>
            </w:r>
            <w:r/>
          </w:p>
        </w:tc>
        <w:tc>
          <w:tcPr>
            <w:tcW w:type="dxa" w:w="1728"/>
          </w:tcPr>
          <w:p>
            <w:r>
              <w:rPr>
                <w:b/>
              </w:rPr>
              <w:t>+0.697% [+0.561, +0.834] sig</w:t>
            </w:r>
            <w:r/>
          </w:p>
        </w:tc>
      </w:tr>
    </w:tbl>
    <w:p/>
    <w:p>
      <w:r>
        <w:t xml:space="preserve">Control per-device means: total revenue 1.015, budgeted 0.284, all-ad impressions 84.9; ITT n/arm ≈ 10.48M. The pattern is the key read: v5b and v6 serve more ads (impressions up), the extra inventory is bought mostly by </w:t>
      </w:r>
      <w:r>
        <w:rPr>
          <w:b/>
        </w:rPr>
        <w:t>budgeted / guaranteed</w:t>
      </w:r>
      <w:r>
        <w:t xml:space="preserve"> demand (budgeted revenue +2.861% on v5b), so </w:t>
      </w:r>
      <w:r>
        <w:rPr>
          <w:b/>
        </w:rPr>
        <w:t>total</w:t>
      </w:r>
      <w:r>
        <w:t xml:space="preserve"> revenue rises well above the open-auction gain (v5b unbudgeted +0.314% vs total +1.113%). Reading only the unbudgeted column understates v5b and v6.</w:t>
      </w:r>
    </w:p>
    <w:p>
      <w:r>
        <w:rPr>
          <w:b/>
        </w:rP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10,476,288</w:t>
            </w:r>
          </w:p>
        </w:tc>
        <w:tc>
          <w:tcPr>
            <w:tcW w:type="dxa" w:w="1440"/>
          </w:tcPr>
          <w:p>
            <w:r>
              <w:t>−0.055% [−0.200, +0.090] ns</w:t>
            </w:r>
          </w:p>
        </w:tc>
        <w:tc>
          <w:tcPr>
            <w:tcW w:type="dxa" w:w="1440"/>
          </w:tcPr>
          <w:p>
            <w:r>
              <w:t>−0.086% [−0.223, +0.050] ns</w:t>
            </w:r>
          </w:p>
        </w:tc>
        <w:tc>
          <w:tcPr>
            <w:tcW w:type="dxa" w:w="1440"/>
          </w:tcPr>
          <w:p>
            <w:r>
              <w:t>+0.113% [−0.029, +0.256] ns</w:t>
            </w:r>
          </w:p>
        </w:tc>
      </w:tr>
      <w:tr>
        <w:tc>
          <w:tcPr>
            <w:tcW w:type="dxa" w:w="1440"/>
          </w:tcPr>
          <w:p>
            <w:r>
              <w:t>ITT</w:t>
            </w:r>
          </w:p>
        </w:tc>
        <w:tc>
          <w:tcPr>
            <w:tcW w:type="dxa" w:w="1440"/>
          </w:tcPr>
          <w:p>
            <w:r>
              <w:t>v5b</w:t>
            </w:r>
          </w:p>
        </w:tc>
        <w:tc>
          <w:tcPr>
            <w:tcW w:type="dxa" w:w="1440"/>
          </w:tcPr>
          <w:p>
            <w:r>
              <w:t>10,475,556</w:t>
            </w:r>
          </w:p>
        </w:tc>
        <w:tc>
          <w:tcPr>
            <w:tcW w:type="dxa" w:w="1440"/>
          </w:tcPr>
          <w:p>
            <w:r>
              <w:t>+0.314% [+0.169, +0.459] sig</w:t>
            </w:r>
          </w:p>
        </w:tc>
        <w:tc>
          <w:tcPr>
            <w:tcW w:type="dxa" w:w="1440"/>
          </w:tcPr>
          <w:p>
            <w:r>
              <w:t>+0.303% [+0.166, +0.440] sig</w:t>
            </w:r>
          </w:p>
        </w:tc>
        <w:tc>
          <w:tcPr>
            <w:tcW w:type="dxa" w:w="1440"/>
          </w:tcPr>
          <w:p>
            <w:r>
              <w:t>−0.162% [−0.304, −0.020] sig</w:t>
            </w:r>
          </w:p>
        </w:tc>
      </w:tr>
      <w:tr>
        <w:tc>
          <w:tcPr>
            <w:tcW w:type="dxa" w:w="1440"/>
          </w:tcPr>
          <w:p>
            <w:r>
              <w:t>ITT</w:t>
            </w:r>
          </w:p>
        </w:tc>
        <w:tc>
          <w:tcPr>
            <w:tcW w:type="dxa" w:w="1440"/>
          </w:tcPr>
          <w:p>
            <w:r>
              <w:t>v6</w:t>
            </w:r>
          </w:p>
        </w:tc>
        <w:tc>
          <w:tcPr>
            <w:tcW w:type="dxa" w:w="1440"/>
          </w:tcPr>
          <w:p>
            <w:r>
              <w:t>10,478,906</w:t>
            </w:r>
          </w:p>
        </w:tc>
        <w:tc>
          <w:tcPr>
            <w:tcW w:type="dxa" w:w="1440"/>
          </w:tcPr>
          <w:p>
            <w:r>
              <w:t>+0.356% [+0.211, +0.501] sig</w:t>
            </w:r>
          </w:p>
        </w:tc>
        <w:tc>
          <w:tcPr>
            <w:tcW w:type="dxa" w:w="1440"/>
          </w:tcPr>
          <w:p>
            <w:r>
              <w:t>+0.376% [+0.239, +0.513] sig</w:t>
            </w:r>
          </w:p>
        </w:tc>
        <w:tc>
          <w:tcPr>
            <w:tcW w:type="dxa" w:w="1440"/>
          </w:tcPr>
          <w:p>
            <w:r>
              <w:t>−0.025% [−0.167, +0.117] ns</w:t>
            </w:r>
          </w:p>
        </w:tc>
      </w:tr>
      <w:tr>
        <w:tc>
          <w:tcPr>
            <w:tcW w:type="dxa" w:w="1440"/>
          </w:tcPr>
          <w:p>
            <w:r>
              <w:t>Active</w:t>
            </w:r>
          </w:p>
        </w:tc>
        <w:tc>
          <w:tcPr>
            <w:tcW w:type="dxa" w:w="1440"/>
          </w:tcPr>
          <w:p>
            <w:r>
              <w:t>v4</w:t>
            </w:r>
          </w:p>
        </w:tc>
        <w:tc>
          <w:tcPr>
            <w:tcW w:type="dxa" w:w="1440"/>
          </w:tcPr>
          <w:p>
            <w:r>
              <w:t>6,635,107</w:t>
            </w:r>
          </w:p>
        </w:tc>
        <w:tc>
          <w:tcPr>
            <w:tcW w:type="dxa" w:w="1440"/>
          </w:tcPr>
          <w:p>
            <w:r>
              <w:t>−0.087% [−0.230, +0.056] ns</w:t>
            </w:r>
          </w:p>
        </w:tc>
        <w:tc>
          <w:tcPr>
            <w:tcW w:type="dxa" w:w="1440"/>
          </w:tcPr>
          <w:p>
            <w:r>
              <w:t>−0.120% [−0.254, +0.015] ns</w:t>
            </w:r>
          </w:p>
        </w:tc>
        <w:tc>
          <w:tcPr>
            <w:tcW w:type="dxa" w:w="1440"/>
          </w:tcPr>
          <w:p>
            <w:r>
              <w:t>+0.093% [−0.046, +0.233] ns</w:t>
            </w:r>
          </w:p>
        </w:tc>
      </w:tr>
      <w:tr>
        <w:tc>
          <w:tcPr>
            <w:tcW w:type="dxa" w:w="1440"/>
          </w:tcPr>
          <w:p>
            <w:r>
              <w:t>Active</w:t>
            </w:r>
          </w:p>
        </w:tc>
        <w:tc>
          <w:tcPr>
            <w:tcW w:type="dxa" w:w="1440"/>
          </w:tcPr>
          <w:p>
            <w:r>
              <w:t>v5b</w:t>
            </w:r>
          </w:p>
        </w:tc>
        <w:tc>
          <w:tcPr>
            <w:tcW w:type="dxa" w:w="1440"/>
          </w:tcPr>
          <w:p>
            <w:r>
              <w:t>6,630,634</w:t>
            </w:r>
          </w:p>
        </w:tc>
        <w:tc>
          <w:tcPr>
            <w:tcW w:type="dxa" w:w="1440"/>
          </w:tcPr>
          <w:p>
            <w:r>
              <w:t>+0.297% [+0.154, +0.440] sig</w:t>
            </w:r>
          </w:p>
        </w:tc>
        <w:tc>
          <w:tcPr>
            <w:tcW w:type="dxa" w:w="1440"/>
          </w:tcPr>
          <w:p>
            <w:r>
              <w:t>+0.285% [+0.151, +0.420] sig</w:t>
            </w:r>
          </w:p>
        </w:tc>
        <w:tc>
          <w:tcPr>
            <w:tcW w:type="dxa" w:w="1440"/>
          </w:tcPr>
          <w:p>
            <w:r>
              <w:t>−0.175% [−0.314, −0.036] sig</w:t>
            </w:r>
          </w:p>
        </w:tc>
      </w:tr>
      <w:tr>
        <w:tc>
          <w:tcPr>
            <w:tcW w:type="dxa" w:w="1440"/>
          </w:tcPr>
          <w:p>
            <w:r>
              <w:t>Active</w:t>
            </w:r>
          </w:p>
        </w:tc>
        <w:tc>
          <w:tcPr>
            <w:tcW w:type="dxa" w:w="1440"/>
          </w:tcPr>
          <w:p>
            <w:r>
              <w:t>v6</w:t>
            </w:r>
          </w:p>
        </w:tc>
        <w:tc>
          <w:tcPr>
            <w:tcW w:type="dxa" w:w="1440"/>
          </w:tcPr>
          <w:p>
            <w:r>
              <w:t>6,636,620</w:t>
            </w:r>
          </w:p>
        </w:tc>
        <w:tc>
          <w:tcPr>
            <w:tcW w:type="dxa" w:w="1440"/>
          </w:tcPr>
          <w:p>
            <w:r>
              <w:t>+0.307% [+0.165, +0.450] sig</w:t>
            </w:r>
          </w:p>
        </w:tc>
        <w:tc>
          <w:tcPr>
            <w:tcW w:type="dxa" w:w="1440"/>
          </w:tcPr>
          <w:p>
            <w:r>
              <w:t>+0.326% [+0.192, +0.461] sig</w:t>
            </w:r>
          </w:p>
        </w:tc>
        <w:tc>
          <w:tcPr>
            <w:tcW w:type="dxa" w:w="1440"/>
          </w:tcPr>
          <w:p>
            <w:r>
              <w:t>−0.058% [−0.197, +0.081] ns</w:t>
            </w:r>
          </w:p>
        </w:tc>
      </w:tr>
      <w:tr>
        <w:tc>
          <w:tcPr>
            <w:tcW w:type="dxa" w:w="1440"/>
          </w:tcPr>
          <w:p>
            <w:r>
              <w:t>ToT</w:t>
            </w:r>
          </w:p>
        </w:tc>
        <w:tc>
          <w:tcPr>
            <w:tcW w:type="dxa" w:w="1440"/>
          </w:tcPr>
          <w:p>
            <w:r>
              <w:t>v4</w:t>
            </w:r>
          </w:p>
        </w:tc>
        <w:tc>
          <w:tcPr>
            <w:tcW w:type="dxa" w:w="1440"/>
          </w:tcPr>
          <w:p>
            <w:r>
              <w:t>5,066,950</w:t>
            </w:r>
          </w:p>
        </w:tc>
        <w:tc>
          <w:tcPr>
            <w:tcW w:type="dxa" w:w="1440"/>
          </w:tcPr>
          <w:p>
            <w:r>
              <w:t>−0.117% [−0.266, +0.031] ns</w:t>
            </w:r>
          </w:p>
        </w:tc>
        <w:tc>
          <w:tcPr>
            <w:tcW w:type="dxa" w:w="1440"/>
          </w:tcPr>
          <w:p>
            <w:r>
              <w:t>−0.144% [−0.283, −0.005] sig</w:t>
            </w:r>
          </w:p>
        </w:tc>
        <w:tc>
          <w:tcPr>
            <w:tcW w:type="dxa" w:w="1440"/>
          </w:tcPr>
          <w:p>
            <w:r>
              <w:t>+0.093% [−0.049, +0.234] ns</w:t>
            </w:r>
          </w:p>
        </w:tc>
      </w:tr>
      <w:tr>
        <w:tc>
          <w:tcPr>
            <w:tcW w:type="dxa" w:w="1440"/>
          </w:tcPr>
          <w:p>
            <w:r>
              <w:t>ToT</w:t>
            </w:r>
          </w:p>
        </w:tc>
        <w:tc>
          <w:tcPr>
            <w:tcW w:type="dxa" w:w="1440"/>
          </w:tcPr>
          <w:p>
            <w:r>
              <w:t>v5b</w:t>
            </w:r>
          </w:p>
        </w:tc>
        <w:tc>
          <w:tcPr>
            <w:tcW w:type="dxa" w:w="1440"/>
          </w:tcPr>
          <w:p>
            <w:r>
              <w:t>5,062,357</w:t>
            </w:r>
          </w:p>
        </w:tc>
        <w:tc>
          <w:tcPr>
            <w:tcW w:type="dxa" w:w="1440"/>
          </w:tcPr>
          <w:p>
            <w:r>
              <w:t>+0.305% [+0.156, +0.454] sig</w:t>
            </w:r>
          </w:p>
        </w:tc>
        <w:tc>
          <w:tcPr>
            <w:tcW w:type="dxa" w:w="1440"/>
          </w:tcPr>
          <w:p>
            <w:r>
              <w:t>+0.296% [+0.157, +0.435] sig</w:t>
            </w:r>
          </w:p>
        </w:tc>
        <w:tc>
          <w:tcPr>
            <w:tcW w:type="dxa" w:w="1440"/>
          </w:tcPr>
          <w:p>
            <w:r>
              <w:t>−0.186% [−0.327, −0.044] sig</w:t>
            </w:r>
          </w:p>
        </w:tc>
      </w:tr>
      <w:tr>
        <w:tc>
          <w:tcPr>
            <w:tcW w:type="dxa" w:w="1440"/>
          </w:tcPr>
          <w:p>
            <w:r>
              <w:t>ToT</w:t>
            </w:r>
          </w:p>
        </w:tc>
        <w:tc>
          <w:tcPr>
            <w:tcW w:type="dxa" w:w="1440"/>
          </w:tcPr>
          <w:p>
            <w:r>
              <w:t>v6</w:t>
            </w:r>
          </w:p>
        </w:tc>
        <w:tc>
          <w:tcPr>
            <w:tcW w:type="dxa" w:w="1440"/>
          </w:tcPr>
          <w:p>
            <w:r>
              <w:t>5,066,395</w:t>
            </w:r>
          </w:p>
        </w:tc>
        <w:tc>
          <w:tcPr>
            <w:tcW w:type="dxa" w:w="1440"/>
          </w:tcPr>
          <w:p>
            <w:r>
              <w:t>+0.317% [+0.169, +0.466] sig</w:t>
            </w:r>
          </w:p>
        </w:tc>
        <w:tc>
          <w:tcPr>
            <w:tcW w:type="dxa" w:w="1440"/>
          </w:tcPr>
          <w:p>
            <w:r>
              <w:t>+0.347% [+0.208, +0.485] sig</w:t>
            </w:r>
          </w:p>
        </w:tc>
        <w:tc>
          <w:tcPr>
            <w:tcW w:type="dxa" w:w="1440"/>
          </w:tcPr>
          <w:p>
            <w:r>
              <w:t>−0.046% [−0.187, +0.096] ns</w:t>
            </w:r>
          </w:p>
        </w:tc>
      </w:tr>
    </w:tbl>
    <w:p/>
    <w:p>
      <w:r>
        <w:t>Control n: ITT 10,477,602 · Active 6,631,340 · ToT 5,062,889.</w:t>
      </w:r>
    </w:p>
    <w:p>
      <w:r>
        <w:t>On-title (the 224,739 targeted titles — ABF2 titles served v10 cue points;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rPr>
                <w:b/>
              </w:rPr>
              <w:t>−0.319% [−0.521, −0.118] sig</w:t>
            </w:r>
            <w:r/>
          </w:p>
        </w:tc>
        <w:tc>
          <w:tcPr>
            <w:tcW w:type="dxa" w:w="1728"/>
          </w:tcPr>
          <w:p>
            <w:r>
              <w:rPr>
                <w:b/>
              </w:rPr>
              <w:t>−0.368% [−0.560, −0.176] sig</w:t>
            </w:r>
            <w:r/>
          </w:p>
        </w:tc>
        <w:tc>
          <w:tcPr>
            <w:tcW w:type="dxa" w:w="1728"/>
          </w:tcPr>
          <w:p>
            <w:r>
              <w:t>+0.114% [−0.089, +0.317] ns</w:t>
            </w:r>
          </w:p>
        </w:tc>
      </w:tr>
      <w:tr>
        <w:tc>
          <w:tcPr>
            <w:tcW w:type="dxa" w:w="1728"/>
          </w:tcPr>
          <w:p>
            <w:r>
              <w:t>ITT</w:t>
            </w:r>
          </w:p>
        </w:tc>
        <w:tc>
          <w:tcPr>
            <w:tcW w:type="dxa" w:w="1728"/>
          </w:tcPr>
          <w:p>
            <w:r>
              <w:t>v5b</w:t>
            </w:r>
          </w:p>
        </w:tc>
        <w:tc>
          <w:tcPr>
            <w:tcW w:type="dxa" w:w="1728"/>
          </w:tcPr>
          <w:p>
            <w:r>
              <w:rPr>
                <w:b/>
              </w:rPr>
              <w:t>+0.993% [+0.791, +1.196] sig</w:t>
            </w:r>
            <w:r/>
          </w:p>
        </w:tc>
        <w:tc>
          <w:tcPr>
            <w:tcW w:type="dxa" w:w="1728"/>
          </w:tcPr>
          <w:p>
            <w:r>
              <w:rPr>
                <w:b/>
              </w:rPr>
              <w:t>+0.931% [+0.738, +1.123] sig</w:t>
            </w:r>
            <w:r/>
          </w:p>
        </w:tc>
        <w:tc>
          <w:tcPr>
            <w:tcW w:type="dxa" w:w="1728"/>
          </w:tcPr>
          <w:p>
            <w:r>
              <w:t>−0.226% [−0.429, −0.024] sig</w:t>
            </w:r>
          </w:p>
        </w:tc>
      </w:tr>
      <w:tr>
        <w:tc>
          <w:tcPr>
            <w:tcW w:type="dxa" w:w="1728"/>
          </w:tcPr>
          <w:p>
            <w:r>
              <w:t>ITT</w:t>
            </w:r>
          </w:p>
        </w:tc>
        <w:tc>
          <w:tcPr>
            <w:tcW w:type="dxa" w:w="1728"/>
          </w:tcPr>
          <w:p>
            <w:r>
              <w:t>v6</w:t>
            </w:r>
          </w:p>
        </w:tc>
        <w:tc>
          <w:tcPr>
            <w:tcW w:type="dxa" w:w="1728"/>
          </w:tcPr>
          <w:p>
            <w:r>
              <w:rPr>
                <w:b/>
              </w:rPr>
              <w:t>+0.920% [+0.719, +1.122] sig</w:t>
            </w:r>
            <w:r/>
          </w:p>
        </w:tc>
        <w:tc>
          <w:tcPr>
            <w:tcW w:type="dxa" w:w="1728"/>
          </w:tcPr>
          <w:p>
            <w:r>
              <w:rPr>
                <w:b/>
              </w:rPr>
              <w:t>+0.930% [+0.738, +1.122] sig</w:t>
            </w:r>
            <w:r/>
          </w:p>
        </w:tc>
        <w:tc>
          <w:tcPr>
            <w:tcW w:type="dxa" w:w="1728"/>
          </w:tcPr>
          <w:p>
            <w:r>
              <w:t>−0.008% [−0.211, +0.194] ns</w:t>
            </w:r>
          </w:p>
        </w:tc>
      </w:tr>
      <w:tr>
        <w:tc>
          <w:tcPr>
            <w:tcW w:type="dxa" w:w="1728"/>
          </w:tcPr>
          <w:p>
            <w:r>
              <w:t>Active</w:t>
            </w:r>
          </w:p>
        </w:tc>
        <w:tc>
          <w:tcPr>
            <w:tcW w:type="dxa" w:w="1728"/>
          </w:tcPr>
          <w:p>
            <w:r>
              <w:t>v4</w:t>
            </w:r>
          </w:p>
        </w:tc>
        <w:tc>
          <w:tcPr>
            <w:tcW w:type="dxa" w:w="1728"/>
          </w:tcPr>
          <w:p>
            <w:r>
              <w:rPr>
                <w:b/>
              </w:rPr>
              <w:t>−0.353% [−0.554, −0.153] sig</w:t>
            </w:r>
            <w:r/>
          </w:p>
        </w:tc>
        <w:tc>
          <w:tcPr>
            <w:tcW w:type="dxa" w:w="1728"/>
          </w:tcPr>
          <w:p>
            <w:r>
              <w:rPr>
                <w:b/>
              </w:rPr>
              <w:t>−0.403% [−0.594, −0.213] sig</w:t>
            </w:r>
            <w:r/>
          </w:p>
        </w:tc>
        <w:tc>
          <w:tcPr>
            <w:tcW w:type="dxa" w:w="1728"/>
          </w:tcPr>
          <w:p>
            <w:r>
              <w:t>+0.095% [−0.106, +0.295] ns</w:t>
            </w:r>
          </w:p>
        </w:tc>
      </w:tr>
      <w:tr>
        <w:tc>
          <w:tcPr>
            <w:tcW w:type="dxa" w:w="1728"/>
          </w:tcPr>
          <w:p>
            <w:r>
              <w:t>Active</w:t>
            </w:r>
          </w:p>
        </w:tc>
        <w:tc>
          <w:tcPr>
            <w:tcW w:type="dxa" w:w="1728"/>
          </w:tcPr>
          <w:p>
            <w:r>
              <w:t>v5b</w:t>
            </w:r>
          </w:p>
        </w:tc>
        <w:tc>
          <w:tcPr>
            <w:tcW w:type="dxa" w:w="1728"/>
          </w:tcPr>
          <w:p>
            <w:r>
              <w:rPr>
                <w:b/>
              </w:rPr>
              <w:t>+0.973% [+0.772, +1.175] sig</w:t>
            </w:r>
            <w:r/>
          </w:p>
        </w:tc>
        <w:tc>
          <w:tcPr>
            <w:tcW w:type="dxa" w:w="1728"/>
          </w:tcPr>
          <w:p>
            <w:r>
              <w:rPr>
                <w:b/>
              </w:rPr>
              <w:t>+0.910% [+0.719, +1.102] sig</w:t>
            </w:r>
            <w:r/>
          </w:p>
        </w:tc>
        <w:tc>
          <w:tcPr>
            <w:tcW w:type="dxa" w:w="1728"/>
          </w:tcPr>
          <w:p>
            <w:r>
              <w:t>−0.240% [−0.440, −0.039] sig</w:t>
            </w:r>
          </w:p>
        </w:tc>
      </w:tr>
      <w:tr>
        <w:tc>
          <w:tcPr>
            <w:tcW w:type="dxa" w:w="1728"/>
          </w:tcPr>
          <w:p>
            <w:r>
              <w:t>Active</w:t>
            </w:r>
          </w:p>
        </w:tc>
        <w:tc>
          <w:tcPr>
            <w:tcW w:type="dxa" w:w="1728"/>
          </w:tcPr>
          <w:p>
            <w:r>
              <w:t>v6</w:t>
            </w:r>
          </w:p>
        </w:tc>
        <w:tc>
          <w:tcPr>
            <w:tcW w:type="dxa" w:w="1728"/>
          </w:tcPr>
          <w:p>
            <w:r>
              <w:rPr>
                <w:b/>
              </w:rPr>
              <w:t>+0.863% [+0.662, +1.063] sig</w:t>
            </w:r>
            <w:r/>
          </w:p>
        </w:tc>
        <w:tc>
          <w:tcPr>
            <w:tcW w:type="dxa" w:w="1728"/>
          </w:tcPr>
          <w:p>
            <w:r>
              <w:rPr>
                <w:b/>
              </w:rPr>
              <w:t>+0.872% [+0.682, +1.063] sig</w:t>
            </w:r>
            <w:r/>
          </w:p>
        </w:tc>
        <w:tc>
          <w:tcPr>
            <w:tcW w:type="dxa" w:w="1728"/>
          </w:tcPr>
          <w:p>
            <w:r>
              <w:t>−0.041% [−0.242, +0.160] ns</w:t>
            </w:r>
          </w:p>
        </w:tc>
      </w:tr>
      <w:tr>
        <w:tc>
          <w:tcPr>
            <w:tcW w:type="dxa" w:w="1728"/>
          </w:tcPr>
          <w:p>
            <w:r>
              <w:t>ToT</w:t>
            </w:r>
          </w:p>
        </w:tc>
        <w:tc>
          <w:tcPr>
            <w:tcW w:type="dxa" w:w="1728"/>
          </w:tcPr>
          <w:p>
            <w:r>
              <w:t>v4</w:t>
            </w:r>
          </w:p>
        </w:tc>
        <w:tc>
          <w:tcPr>
            <w:tcW w:type="dxa" w:w="1728"/>
          </w:tcPr>
          <w:p>
            <w:r>
              <w:rPr>
                <w:b/>
              </w:rPr>
              <w:t>−0.412% [−0.608, −0.216] sig</w:t>
            </w:r>
            <w:r/>
          </w:p>
        </w:tc>
        <w:tc>
          <w:tcPr>
            <w:tcW w:type="dxa" w:w="1728"/>
          </w:tcPr>
          <w:p>
            <w:r>
              <w:rPr>
                <w:b/>
              </w:rPr>
              <w:t>−0.457% [−0.642, −0.272] sig</w:t>
            </w:r>
            <w:r/>
          </w:p>
        </w:tc>
        <w:tc>
          <w:tcPr>
            <w:tcW w:type="dxa" w:w="1728"/>
          </w:tcPr>
          <w:p>
            <w:r>
              <w:t>+0.070% [−0.124, +0.264] ns</w:t>
            </w:r>
          </w:p>
        </w:tc>
      </w:tr>
      <w:tr>
        <w:tc>
          <w:tcPr>
            <w:tcW w:type="dxa" w:w="1728"/>
          </w:tcPr>
          <w:p>
            <w:r>
              <w:t>ToT</w:t>
            </w:r>
          </w:p>
        </w:tc>
        <w:tc>
          <w:tcPr>
            <w:tcW w:type="dxa" w:w="1728"/>
          </w:tcPr>
          <w:p>
            <w:r>
              <w:t>v5b</w:t>
            </w:r>
          </w:p>
        </w:tc>
        <w:tc>
          <w:tcPr>
            <w:tcW w:type="dxa" w:w="1728"/>
          </w:tcPr>
          <w:p>
            <w:r>
              <w:rPr>
                <w:b/>
              </w:rPr>
              <w:t>+0.936% [+0.740, +1.133] sig</w:t>
            </w:r>
            <w:r/>
          </w:p>
        </w:tc>
        <w:tc>
          <w:tcPr>
            <w:tcW w:type="dxa" w:w="1728"/>
          </w:tcPr>
          <w:p>
            <w:r>
              <w:rPr>
                <w:b/>
              </w:rPr>
              <w:t>+0.874% [+0.689, +1.060] sig</w:t>
            </w:r>
            <w:r/>
          </w:p>
        </w:tc>
        <w:tc>
          <w:tcPr>
            <w:tcW w:type="dxa" w:w="1728"/>
          </w:tcPr>
          <w:p>
            <w:r>
              <w:t>−0.251% [−0.445, −0.057] sig</w:t>
            </w:r>
          </w:p>
        </w:tc>
      </w:tr>
      <w:tr>
        <w:tc>
          <w:tcPr>
            <w:tcW w:type="dxa" w:w="1728"/>
          </w:tcPr>
          <w:p>
            <w:r>
              <w:t>ToT</w:t>
            </w:r>
          </w:p>
        </w:tc>
        <w:tc>
          <w:tcPr>
            <w:tcW w:type="dxa" w:w="1728"/>
          </w:tcPr>
          <w:p>
            <w:r>
              <w:t>v6</w:t>
            </w:r>
          </w:p>
        </w:tc>
        <w:tc>
          <w:tcPr>
            <w:tcW w:type="dxa" w:w="1728"/>
          </w:tcPr>
          <w:p>
            <w:r>
              <w:rPr>
                <w:b/>
              </w:rPr>
              <w:t>+0.793% [+0.597, +0.989] sig</w:t>
            </w:r>
            <w:r/>
          </w:p>
        </w:tc>
        <w:tc>
          <w:tcPr>
            <w:tcW w:type="dxa" w:w="1728"/>
          </w:tcPr>
          <w:p>
            <w:r>
              <w:rPr>
                <w:b/>
              </w:rPr>
              <w:t>+0.809% [+0.624, +0.995] sig</w:t>
            </w:r>
            <w:r/>
          </w:p>
        </w:tc>
        <w:tc>
          <w:tcPr>
            <w:tcW w:type="dxa" w:w="1728"/>
          </w:tcPr>
          <w:p>
            <w:r>
              <w:t>−0.065% [−0.259, +0.130] ns</w:t>
            </w:r>
          </w:p>
        </w:tc>
      </w:tr>
    </w:tbl>
    <w:p/>
    <w:p>
      <w:r>
        <w:t xml:space="preserve">On the targeted titles, both </w:t>
      </w:r>
      <w:r>
        <w:rPr>
          <w:b/>
        </w:rPr>
        <w:t>v5b and v6 show significant positive unbudgeted revenue</w:t>
      </w:r>
      <w:r>
        <w:t xml:space="preserve"> (ITT +0.993% and +0.920%), and v4 is significantly negative (−0.319% ITT, −0.353% Active, −0.412% ToT). v4’s on-title TVT is no longer significant (+0.114% ns), and its revenue and impressions are negative in every population, so v4 remains the weak arm on the treated catalog.</w:t>
      </w:r>
    </w:p>
    <w:p>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balanced (~8.3% per arm — down from the 10-15 read because the devices added since are only ~2.5% power viewers).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9,608,661</w:t>
            </w:r>
          </w:p>
        </w:tc>
        <w:tc>
          <w:tcPr>
            <w:tcW w:type="dxa" w:w="1728"/>
          </w:tcPr>
          <w:p>
            <w:r>
              <w:t>+0.190% [−0.004, +0.385]</w:t>
            </w:r>
          </w:p>
        </w:tc>
        <w:tc>
          <w:tcPr>
            <w:tcW w:type="dxa" w:w="1728"/>
          </w:tcPr>
          <w:p>
            <w:r>
              <w:t>No</w:t>
            </w:r>
          </w:p>
        </w:tc>
      </w:tr>
      <w:tr>
        <w:tc>
          <w:tcPr>
            <w:tcW w:type="dxa" w:w="1728"/>
          </w:tcPr>
          <w:p>
            <w:r>
              <w:t>Non-power viewers</w:t>
            </w:r>
          </w:p>
        </w:tc>
        <w:tc>
          <w:tcPr>
            <w:tcW w:type="dxa" w:w="1728"/>
          </w:tcPr>
          <w:p>
            <w:r>
              <w:t>v5b</w:t>
            </w:r>
          </w:p>
        </w:tc>
        <w:tc>
          <w:tcPr>
            <w:tcW w:type="dxa" w:w="1728"/>
          </w:tcPr>
          <w:p>
            <w:r>
              <w:t>9,609,490</w:t>
            </w:r>
          </w:p>
        </w:tc>
        <w:tc>
          <w:tcPr>
            <w:tcW w:type="dxa" w:w="1728"/>
          </w:tcPr>
          <w:p>
            <w:r>
              <w:t>−0.099% [−0.293, +0.095]</w:t>
            </w:r>
          </w:p>
        </w:tc>
        <w:tc>
          <w:tcPr>
            <w:tcW w:type="dxa" w:w="1728"/>
          </w:tcPr>
          <w:p>
            <w:r>
              <w:t>No</w:t>
            </w:r>
          </w:p>
        </w:tc>
      </w:tr>
      <w:tr>
        <w:tc>
          <w:tcPr>
            <w:tcW w:type="dxa" w:w="1728"/>
          </w:tcPr>
          <w:p>
            <w:r>
              <w:t>Non-power viewers</w:t>
            </w:r>
          </w:p>
        </w:tc>
        <w:tc>
          <w:tcPr>
            <w:tcW w:type="dxa" w:w="1728"/>
          </w:tcPr>
          <w:p>
            <w:r>
              <w:t>v6</w:t>
            </w:r>
          </w:p>
        </w:tc>
        <w:tc>
          <w:tcPr>
            <w:tcW w:type="dxa" w:w="1728"/>
          </w:tcPr>
          <w:p>
            <w:r>
              <w:t>9,612,749</w:t>
            </w:r>
          </w:p>
        </w:tc>
        <w:tc>
          <w:tcPr>
            <w:tcW w:type="dxa" w:w="1728"/>
          </w:tcPr>
          <w:p>
            <w:r>
              <w:t>+0.084% [−0.111, +0.278]</w:t>
            </w:r>
          </w:p>
        </w:tc>
        <w:tc>
          <w:tcPr>
            <w:tcW w:type="dxa" w:w="1728"/>
          </w:tcPr>
          <w:p>
            <w:r>
              <w:t>No</w:t>
            </w:r>
          </w:p>
        </w:tc>
      </w:tr>
      <w:tr>
        <w:tc>
          <w:tcPr>
            <w:tcW w:type="dxa" w:w="1728"/>
          </w:tcPr>
          <w:p>
            <w:r>
              <w:t>Power viewers</w:t>
            </w:r>
          </w:p>
        </w:tc>
        <w:tc>
          <w:tcPr>
            <w:tcW w:type="dxa" w:w="1728"/>
          </w:tcPr>
          <w:p>
            <w:r>
              <w:t>v4</w:t>
            </w:r>
          </w:p>
        </w:tc>
        <w:tc>
          <w:tcPr>
            <w:tcW w:type="dxa" w:w="1728"/>
          </w:tcPr>
          <w:p>
            <w:r>
              <w:t>867,627</w:t>
            </w:r>
          </w:p>
        </w:tc>
        <w:tc>
          <w:tcPr>
            <w:tcW w:type="dxa" w:w="1728"/>
          </w:tcPr>
          <w:p>
            <w:r>
              <w:t>+0.016% [−0.189, +0.221]</w:t>
            </w:r>
          </w:p>
        </w:tc>
        <w:tc>
          <w:tcPr>
            <w:tcW w:type="dxa" w:w="1728"/>
          </w:tcPr>
          <w:p>
            <w:r>
              <w:t>No</w:t>
            </w:r>
          </w:p>
        </w:tc>
      </w:tr>
      <w:tr>
        <w:tc>
          <w:tcPr>
            <w:tcW w:type="dxa" w:w="1728"/>
          </w:tcPr>
          <w:p>
            <w:r>
              <w:t>Power viewers</w:t>
            </w:r>
          </w:p>
        </w:tc>
        <w:tc>
          <w:tcPr>
            <w:tcW w:type="dxa" w:w="1728"/>
          </w:tcPr>
          <w:p>
            <w:r>
              <w:t>v5b</w:t>
            </w:r>
          </w:p>
        </w:tc>
        <w:tc>
          <w:tcPr>
            <w:tcW w:type="dxa" w:w="1728"/>
          </w:tcPr>
          <w:p>
            <w:r>
              <w:t>866,066</w:t>
            </w:r>
          </w:p>
        </w:tc>
        <w:tc>
          <w:tcPr>
            <w:tcW w:type="dxa" w:w="1728"/>
          </w:tcPr>
          <w:p>
            <w:r>
              <w:t>−0.231% [−0.436, −0.026]</w:t>
            </w:r>
          </w:p>
        </w:tc>
        <w:tc>
          <w:tcPr>
            <w:tcW w:type="dxa" w:w="1728"/>
          </w:tcPr>
          <w:p>
            <w:r>
              <w:t>Yes</w:t>
            </w:r>
          </w:p>
        </w:tc>
      </w:tr>
      <w:tr>
        <w:tc>
          <w:tcPr>
            <w:tcW w:type="dxa" w:w="1728"/>
          </w:tcPr>
          <w:p>
            <w:r>
              <w:t>Power viewers</w:t>
            </w:r>
          </w:p>
        </w:tc>
        <w:tc>
          <w:tcPr>
            <w:tcW w:type="dxa" w:w="1728"/>
          </w:tcPr>
          <w:p>
            <w:r>
              <w:t>v6</w:t>
            </w:r>
          </w:p>
        </w:tc>
        <w:tc>
          <w:tcPr>
            <w:tcW w:type="dxa" w:w="1728"/>
          </w:tcPr>
          <w:p>
            <w:r>
              <w:t>866,157</w:t>
            </w:r>
          </w:p>
        </w:tc>
        <w:tc>
          <w:tcPr>
            <w:tcW w:type="dxa" w:w="1728"/>
          </w:tcPr>
          <w:p>
            <w:r>
              <w:t>−0.133% [−0.338, +0.072]</w:t>
            </w:r>
          </w:p>
        </w:tc>
        <w:tc>
          <w:tcPr>
            <w:tcW w:type="dxa" w:w="1728"/>
          </w:tcPr>
          <w:p>
            <w:r>
              <w:t>No</w:t>
            </w:r>
          </w:p>
        </w:tc>
      </w:tr>
    </w:tbl>
    <w:p/>
    <w:p>
      <w:r>
        <w:t>Control n: non-power 9,611,784 · power 865,818. The only significant move is v5b on power viewers (−0.231% sig); v5b non-power is −0.099% ns. v4’s non-power +0.19% is no longer significant (interval [+0.00, +0.39]). v5b’s power-viewer dip is consistent with it adding the most ad load and is the one engagement item to keep watching.</w:t>
      </w:r>
    </w:p>
    <w:p>
      <w:pPr>
        <w:pStyle w:val="Heading1"/>
      </w:pPr>
      <w:r>
        <w:t>2. Where the result lives</w:t>
      </w:r>
    </w:p>
    <w:p>
      <w:r>
        <w:t>Band and movie/episode numbers below are raw device-level Welch lifts (unbudgeted revenue/impressions, not CUPED), among devices who watched at least one targeted title in that band or type during the window. The same device can appear in more than one band. Titles are the 224,739 targeted titles;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−0.06% [−0.60, +0.48] ns</w:t>
            </w:r>
          </w:p>
        </w:tc>
        <w:tc>
          <w:tcPr>
            <w:tcW w:type="dxa" w:w="1440"/>
          </w:tcPr>
          <w:p>
            <w:r>
              <w:t>−0.08% ns</w:t>
            </w:r>
          </w:p>
        </w:tc>
        <w:tc>
          <w:tcPr>
            <w:tcW w:type="dxa" w:w="1440"/>
          </w:tcPr>
          <w:p>
            <w:r>
              <w:t>−0.07% [−0.59, +0.45] ns</w:t>
            </w:r>
          </w:p>
        </w:tc>
        <w:tc>
          <w:tcPr>
            <w:tcW w:type="dxa" w:w="1440"/>
          </w:tcPr>
          <w:p>
            <w:r>
              <w:t>1,628,797</w:t>
            </w:r>
          </w:p>
        </w:tc>
      </w:tr>
      <w:tr>
        <w:tc>
          <w:tcPr>
            <w:tcW w:type="dxa" w:w="1440"/>
          </w:tcPr>
          <w:p>
            <w:r>
              <w:t>1–3</w:t>
            </w:r>
          </w:p>
        </w:tc>
        <w:tc>
          <w:tcPr>
            <w:tcW w:type="dxa" w:w="1440"/>
          </w:tcPr>
          <w:p>
            <w:r>
              <w:t>v5b</w:t>
            </w:r>
          </w:p>
        </w:tc>
        <w:tc>
          <w:tcPr>
            <w:tcW w:type="dxa" w:w="1440"/>
          </w:tcPr>
          <w:p>
            <w:r>
              <w:t>−0.49% [−1.03, +0.04] ns</w:t>
            </w:r>
          </w:p>
        </w:tc>
        <w:tc>
          <w:tcPr>
            <w:tcW w:type="dxa" w:w="1440"/>
          </w:tcPr>
          <w:p>
            <w:r>
              <w:t>−0.53% sig</w:t>
            </w:r>
          </w:p>
        </w:tc>
        <w:tc>
          <w:tcPr>
            <w:tcW w:type="dxa" w:w="1440"/>
          </w:tcPr>
          <w:p>
            <w:r>
              <w:t>−0.62% [−1.14, −0.11] sig</w:t>
            </w:r>
          </w:p>
        </w:tc>
        <w:tc>
          <w:tcPr>
            <w:tcW w:type="dxa" w:w="1440"/>
          </w:tcPr>
          <w:p>
            <w:r>
              <w:t>1,623,312</w:t>
            </w:r>
          </w:p>
        </w:tc>
      </w:tr>
      <w:tr>
        <w:tc>
          <w:tcPr>
            <w:tcW w:type="dxa" w:w="1440"/>
          </w:tcPr>
          <w:p>
            <w:r>
              <w:t>1–3</w:t>
            </w:r>
          </w:p>
        </w:tc>
        <w:tc>
          <w:tcPr>
            <w:tcW w:type="dxa" w:w="1440"/>
          </w:tcPr>
          <w:p>
            <w:r>
              <w:t>v6</w:t>
            </w:r>
          </w:p>
        </w:tc>
        <w:tc>
          <w:tcPr>
            <w:tcW w:type="dxa" w:w="1440"/>
          </w:tcPr>
          <w:p>
            <w:r>
              <w:t>+0.51% [−0.03, +1.05] ns</w:t>
            </w:r>
          </w:p>
        </w:tc>
        <w:tc>
          <w:tcPr>
            <w:tcW w:type="dxa" w:w="1440"/>
          </w:tcPr>
          <w:p>
            <w:r>
              <w:t>+0.47% ns</w:t>
            </w:r>
          </w:p>
        </w:tc>
        <w:tc>
          <w:tcPr>
            <w:tcW w:type="dxa" w:w="1440"/>
          </w:tcPr>
          <w:p>
            <w:r>
              <w:t>+0.52% [−0.01, +1.04] ns</w:t>
            </w:r>
          </w:p>
        </w:tc>
        <w:tc>
          <w:tcPr>
            <w:tcW w:type="dxa" w:w="1440"/>
          </w:tcPr>
          <w:p>
            <w:r>
              <w:t>1,624,300</w:t>
            </w:r>
          </w:p>
        </w:tc>
      </w:tr>
      <w:tr>
        <w:tc>
          <w:tcPr>
            <w:tcW w:type="dxa" w:w="1440"/>
          </w:tcPr>
          <w:p>
            <w:r>
              <w:t>4–6</w:t>
            </w:r>
          </w:p>
        </w:tc>
        <w:tc>
          <w:tcPr>
            <w:tcW w:type="dxa" w:w="1440"/>
          </w:tcPr>
          <w:p>
            <w:r>
              <w:t>v4</w:t>
            </w:r>
          </w:p>
        </w:tc>
        <w:tc>
          <w:tcPr>
            <w:tcW w:type="dxa" w:w="1440"/>
          </w:tcPr>
          <w:p>
            <w:r>
              <w:rPr>
                <w:b/>
              </w:rPr>
              <w:t>−1.40% [−1.85, −0.94] sig</w:t>
            </w:r>
            <w:r/>
          </w:p>
        </w:tc>
        <w:tc>
          <w:tcPr>
            <w:tcW w:type="dxa" w:w="1440"/>
          </w:tcPr>
          <w:p>
            <w:r>
              <w:t>−0.08% ns</w:t>
            </w:r>
          </w:p>
        </w:tc>
        <w:tc>
          <w:tcPr>
            <w:tcW w:type="dxa" w:w="1440"/>
          </w:tcPr>
          <w:p>
            <w:r>
              <w:rPr>
                <w:b/>
              </w:rPr>
              <w:t>−1.49% [−1.92, −1.07] sig</w:t>
            </w:r>
            <w:r/>
          </w:p>
        </w:tc>
        <w:tc>
          <w:tcPr>
            <w:tcW w:type="dxa" w:w="1440"/>
          </w:tcPr>
          <w:p>
            <w:r>
              <w:t>2,087,797</w:t>
            </w:r>
          </w:p>
        </w:tc>
      </w:tr>
      <w:tr>
        <w:tc>
          <w:tcPr>
            <w:tcW w:type="dxa" w:w="1440"/>
          </w:tcPr>
          <w:p>
            <w:r>
              <w:t>4–6</w:t>
            </w:r>
          </w:p>
        </w:tc>
        <w:tc>
          <w:tcPr>
            <w:tcW w:type="dxa" w:w="1440"/>
          </w:tcPr>
          <w:p>
            <w:r>
              <w:t>v5b</w:t>
            </w:r>
          </w:p>
        </w:tc>
        <w:tc>
          <w:tcPr>
            <w:tcW w:type="dxa" w:w="1440"/>
          </w:tcPr>
          <w:p>
            <w:r>
              <w:t>+0.67% [+0.20, +1.13] sig</w:t>
            </w:r>
          </w:p>
        </w:tc>
        <w:tc>
          <w:tcPr>
            <w:tcW w:type="dxa" w:w="1440"/>
          </w:tcPr>
          <w:p>
            <w:r>
              <w:t>−0.16% ns</w:t>
            </w:r>
          </w:p>
        </w:tc>
        <w:tc>
          <w:tcPr>
            <w:tcW w:type="dxa" w:w="1440"/>
          </w:tcPr>
          <w:p>
            <w:r>
              <w:t>+0.62% [+0.20, +1.05] sig</w:t>
            </w:r>
          </w:p>
        </w:tc>
        <w:tc>
          <w:tcPr>
            <w:tcW w:type="dxa" w:w="1440"/>
          </w:tcPr>
          <w:p>
            <w:r>
              <w:t>2,080,881</w:t>
            </w:r>
          </w:p>
        </w:tc>
      </w:tr>
      <w:tr>
        <w:tc>
          <w:tcPr>
            <w:tcW w:type="dxa" w:w="1440"/>
          </w:tcPr>
          <w:p>
            <w:r>
              <w:t>4–6</w:t>
            </w:r>
          </w:p>
        </w:tc>
        <w:tc>
          <w:tcPr>
            <w:tcW w:type="dxa" w:w="1440"/>
          </w:tcPr>
          <w:p>
            <w:r>
              <w:t>v6</w:t>
            </w:r>
          </w:p>
        </w:tc>
        <w:tc>
          <w:tcPr>
            <w:tcW w:type="dxa" w:w="1440"/>
          </w:tcPr>
          <w:p>
            <w:r>
              <w:rPr>
                <w:b/>
              </w:rPr>
              <w:t>−1.93% [−2.39, −1.48] sig</w:t>
            </w:r>
            <w:r/>
          </w:p>
        </w:tc>
        <w:tc>
          <w:tcPr>
            <w:tcW w:type="dxa" w:w="1440"/>
          </w:tcPr>
          <w:p>
            <w:r>
              <w:t>−0.42% ns</w:t>
            </w:r>
          </w:p>
        </w:tc>
        <w:tc>
          <w:tcPr>
            <w:tcW w:type="dxa" w:w="1440"/>
          </w:tcPr>
          <w:p>
            <w:r>
              <w:rPr>
                <w:b/>
              </w:rPr>
              <w:t>−1.98% [−2.40, −1.55] sig</w:t>
            </w:r>
            <w:r/>
          </w:p>
        </w:tc>
        <w:tc>
          <w:tcPr>
            <w:tcW w:type="dxa" w:w="1440"/>
          </w:tcPr>
          <w:p>
            <w:r>
              <w:t>2,085,131</w:t>
            </w:r>
          </w:p>
        </w:tc>
      </w:tr>
      <w:tr>
        <w:tc>
          <w:tcPr>
            <w:tcW w:type="dxa" w:w="1440"/>
          </w:tcPr>
          <w:p>
            <w:r>
              <w:t>7–9</w:t>
            </w:r>
          </w:p>
        </w:tc>
        <w:tc>
          <w:tcPr>
            <w:tcW w:type="dxa" w:w="1440"/>
          </w:tcPr>
          <w:p>
            <w:r>
              <w:t>v4</w:t>
            </w:r>
          </w:p>
        </w:tc>
        <w:tc>
          <w:tcPr>
            <w:tcW w:type="dxa" w:w="1440"/>
          </w:tcPr>
          <w:p>
            <w:r>
              <w:t>+0.69% [+0.23, +1.16] sig</w:t>
            </w:r>
          </w:p>
        </w:tc>
        <w:tc>
          <w:tcPr>
            <w:tcW w:type="dxa" w:w="1440"/>
          </w:tcPr>
          <w:p>
            <w:r>
              <w:t>+0.06% ns</w:t>
            </w:r>
          </w:p>
        </w:tc>
        <w:tc>
          <w:tcPr>
            <w:tcW w:type="dxa" w:w="1440"/>
          </w:tcPr>
          <w:p>
            <w:r>
              <w:t>+0.48% [+0.06, +0.91] sig</w:t>
            </w:r>
          </w:p>
        </w:tc>
        <w:tc>
          <w:tcPr>
            <w:tcW w:type="dxa" w:w="1440"/>
          </w:tcPr>
          <w:p>
            <w:r>
              <w:t>2,208,759</w:t>
            </w:r>
          </w:p>
        </w:tc>
      </w:tr>
      <w:tr>
        <w:tc>
          <w:tcPr>
            <w:tcW w:type="dxa" w:w="1440"/>
          </w:tcPr>
          <w:p>
            <w:r>
              <w:t>7–9</w:t>
            </w:r>
          </w:p>
        </w:tc>
        <w:tc>
          <w:tcPr>
            <w:tcW w:type="dxa" w:w="1440"/>
          </w:tcPr>
          <w:p>
            <w:r>
              <w:t>v5b</w:t>
            </w:r>
          </w:p>
        </w:tc>
        <w:tc>
          <w:tcPr>
            <w:tcW w:type="dxa" w:w="1440"/>
          </w:tcPr>
          <w:p>
            <w:r>
              <w:rPr>
                <w:b/>
              </w:rPr>
              <w:t>+2.92% [+2.46, +3.38] sig</w:t>
            </w:r>
            <w:r/>
          </w:p>
        </w:tc>
        <w:tc>
          <w:tcPr>
            <w:tcW w:type="dxa" w:w="1440"/>
          </w:tcPr>
          <w:p>
            <w:r>
              <w:t>−0.19% ns</w:t>
            </w:r>
          </w:p>
        </w:tc>
        <w:tc>
          <w:tcPr>
            <w:tcW w:type="dxa" w:w="1440"/>
          </w:tcPr>
          <w:p>
            <w:r>
              <w:rPr>
                <w:b/>
              </w:rPr>
              <w:t>+2.73% [+2.31, +3.16] sig</w:t>
            </w:r>
            <w:r/>
          </w:p>
        </w:tc>
        <w:tc>
          <w:tcPr>
            <w:tcW w:type="dxa" w:w="1440"/>
          </w:tcPr>
          <w:p>
            <w:r>
              <w:t>2,204,938</w:t>
            </w:r>
          </w:p>
        </w:tc>
      </w:tr>
      <w:tr>
        <w:tc>
          <w:tcPr>
            <w:tcW w:type="dxa" w:w="1440"/>
          </w:tcPr>
          <w:p>
            <w:r>
              <w:t>7–9</w:t>
            </w:r>
          </w:p>
        </w:tc>
        <w:tc>
          <w:tcPr>
            <w:tcW w:type="dxa" w:w="1440"/>
          </w:tcPr>
          <w:p>
            <w:r>
              <w:t>v6</w:t>
            </w:r>
          </w:p>
        </w:tc>
        <w:tc>
          <w:tcPr>
            <w:tcW w:type="dxa" w:w="1440"/>
          </w:tcPr>
          <w:p>
            <w:r>
              <w:rPr>
                <w:b/>
              </w:rPr>
              <w:t>+1.66% [+1.20, +2.12] sig</w:t>
            </w:r>
            <w:r/>
          </w:p>
        </w:tc>
        <w:tc>
          <w:tcPr>
            <w:tcW w:type="dxa" w:w="1440"/>
          </w:tcPr>
          <w:p>
            <w:r>
              <w:t>−0.22% ns</w:t>
            </w:r>
          </w:p>
        </w:tc>
        <w:tc>
          <w:tcPr>
            <w:tcW w:type="dxa" w:w="1440"/>
          </w:tcPr>
          <w:p>
            <w:r>
              <w:rPr>
                <w:b/>
              </w:rPr>
              <w:t>+1.50% [+1.08, +1.93] sig</w:t>
            </w:r>
            <w:r/>
          </w:p>
        </w:tc>
        <w:tc>
          <w:tcPr>
            <w:tcW w:type="dxa" w:w="1440"/>
          </w:tcPr>
          <w:p>
            <w:r>
              <w:t>2,207,116</w:t>
            </w:r>
          </w:p>
        </w:tc>
      </w:tr>
      <w:tr>
        <w:tc>
          <w:tcPr>
            <w:tcW w:type="dxa" w:w="1440"/>
          </w:tcPr>
          <w:p>
            <w:r>
              <w:t>10–12</w:t>
            </w:r>
          </w:p>
        </w:tc>
        <w:tc>
          <w:tcPr>
            <w:tcW w:type="dxa" w:w="1440"/>
          </w:tcPr>
          <w:p>
            <w:r>
              <w:t>v4</w:t>
            </w:r>
          </w:p>
        </w:tc>
        <w:tc>
          <w:tcPr>
            <w:tcW w:type="dxa" w:w="1440"/>
          </w:tcPr>
          <w:p>
            <w:r>
              <w:rPr>
                <w:b/>
              </w:rPr>
              <w:t>+1.73% [+1.44, +2.03] sig</w:t>
            </w:r>
            <w:r/>
          </w:p>
        </w:tc>
        <w:tc>
          <w:tcPr>
            <w:tcW w:type="dxa" w:w="1440"/>
          </w:tcPr>
          <w:p>
            <w:r>
              <w:t>−0.02% ns</w:t>
            </w:r>
          </w:p>
        </w:tc>
        <w:tc>
          <w:tcPr>
            <w:tcW w:type="dxa" w:w="1440"/>
          </w:tcPr>
          <w:p>
            <w:r>
              <w:rPr>
                <w:b/>
              </w:rPr>
              <w:t>+1.94% [+1.67, +2.21] sig</w:t>
            </w:r>
            <w:r/>
          </w:p>
        </w:tc>
        <w:tc>
          <w:tcPr>
            <w:tcW w:type="dxa" w:w="1440"/>
          </w:tcPr>
          <w:p>
            <w:r>
              <w:t>2,349,653</w:t>
            </w:r>
          </w:p>
        </w:tc>
      </w:tr>
      <w:tr>
        <w:tc>
          <w:tcPr>
            <w:tcW w:type="dxa" w:w="1440"/>
          </w:tcPr>
          <w:p>
            <w:r>
              <w:t>10–12</w:t>
            </w:r>
          </w:p>
        </w:tc>
        <w:tc>
          <w:tcPr>
            <w:tcW w:type="dxa" w:w="1440"/>
          </w:tcPr>
          <w:p>
            <w:r>
              <w:t>v5b</w:t>
            </w:r>
          </w:p>
        </w:tc>
        <w:tc>
          <w:tcPr>
            <w:tcW w:type="dxa" w:w="1440"/>
          </w:tcPr>
          <w:p>
            <w:r>
              <w:rPr>
                <w:b/>
              </w:rPr>
              <w:t>+4.03% [+3.74, +4.33] sig</w:t>
            </w:r>
            <w:r/>
          </w:p>
        </w:tc>
        <w:tc>
          <w:tcPr>
            <w:tcW w:type="dxa" w:w="1440"/>
          </w:tcPr>
          <w:p>
            <w:r>
              <w:t>−0.05% ns</w:t>
            </w:r>
          </w:p>
        </w:tc>
        <w:tc>
          <w:tcPr>
            <w:tcW w:type="dxa" w:w="1440"/>
          </w:tcPr>
          <w:p>
            <w:r>
              <w:rPr>
                <w:b/>
              </w:rPr>
              <w:t>+4.35% [+4.08, +4.62] sig</w:t>
            </w:r>
            <w:r/>
          </w:p>
        </w:tc>
        <w:tc>
          <w:tcPr>
            <w:tcW w:type="dxa" w:w="1440"/>
          </w:tcPr>
          <w:p>
            <w:r>
              <w:t>2,348,859</w:t>
            </w:r>
          </w:p>
        </w:tc>
      </w:tr>
      <w:tr>
        <w:tc>
          <w:tcPr>
            <w:tcW w:type="dxa" w:w="1440"/>
          </w:tcPr>
          <w:p>
            <w:r>
              <w:t>10–12</w:t>
            </w:r>
          </w:p>
        </w:tc>
        <w:tc>
          <w:tcPr>
            <w:tcW w:type="dxa" w:w="1440"/>
          </w:tcPr>
          <w:p>
            <w:r>
              <w:t>v6</w:t>
            </w:r>
          </w:p>
        </w:tc>
        <w:tc>
          <w:tcPr>
            <w:tcW w:type="dxa" w:w="1440"/>
          </w:tcPr>
          <w:p>
            <w:r>
              <w:rPr>
                <w:b/>
              </w:rPr>
              <w:t>+4.80% [+4.50, +5.09] sig</w:t>
            </w:r>
            <w:r/>
          </w:p>
        </w:tc>
        <w:tc>
          <w:tcPr>
            <w:tcW w:type="dxa" w:w="1440"/>
          </w:tcPr>
          <w:p>
            <w:r>
              <w:t>−0.25% ns</w:t>
            </w:r>
          </w:p>
        </w:tc>
        <w:tc>
          <w:tcPr>
            <w:tcW w:type="dxa" w:w="1440"/>
          </w:tcPr>
          <w:p>
            <w:r>
              <w:rPr>
                <w:b/>
              </w:rPr>
              <w:t>+5.19% [+4.92, +5.46] sig</w:t>
            </w:r>
            <w:r/>
          </w:p>
        </w:tc>
        <w:tc>
          <w:tcPr>
            <w:tcW w:type="dxa" w:w="1440"/>
          </w:tcPr>
          <w:p>
            <w:r>
              <w:t>2,349,499</w:t>
            </w:r>
          </w:p>
        </w:tc>
      </w:tr>
      <w:tr>
        <w:tc>
          <w:tcPr>
            <w:tcW w:type="dxa" w:w="1440"/>
          </w:tcPr>
          <w:p>
            <w:r>
              <w:t>13+</w:t>
            </w:r>
          </w:p>
        </w:tc>
        <w:tc>
          <w:tcPr>
            <w:tcW w:type="dxa" w:w="1440"/>
          </w:tcPr>
          <w:p>
            <w:r>
              <w:t>v4</w:t>
            </w:r>
          </w:p>
        </w:tc>
        <w:tc>
          <w:tcPr>
            <w:tcW w:type="dxa" w:w="1440"/>
          </w:tcPr>
          <w:p>
            <w:r>
              <w:rPr>
                <w:b/>
              </w:rPr>
              <w:t>−1.53% [−1.79, −1.26] sig</w:t>
            </w:r>
            <w:r/>
          </w:p>
        </w:tc>
        <w:tc>
          <w:tcPr>
            <w:tcW w:type="dxa" w:w="1440"/>
          </w:tcPr>
          <w:p>
            <w:r>
              <w:t>+0.08% ns</w:t>
            </w:r>
          </w:p>
        </w:tc>
        <w:tc>
          <w:tcPr>
            <w:tcW w:type="dxa" w:w="1440"/>
          </w:tcPr>
          <w:p>
            <w:r>
              <w:rPr>
                <w:b/>
              </w:rPr>
              <w:t>−1.64% [−1.89, −1.40] sig</w:t>
            </w:r>
            <w:r/>
          </w:p>
        </w:tc>
        <w:tc>
          <w:tcPr>
            <w:tcW w:type="dxa" w:w="1440"/>
          </w:tcPr>
          <w:p>
            <w:r>
              <w:t>3,026,814</w:t>
            </w:r>
          </w:p>
        </w:tc>
      </w:tr>
      <w:tr>
        <w:tc>
          <w:tcPr>
            <w:tcW w:type="dxa" w:w="1440"/>
          </w:tcPr>
          <w:p>
            <w:r>
              <w:t>13+</w:t>
            </w:r>
          </w:p>
        </w:tc>
        <w:tc>
          <w:tcPr>
            <w:tcW w:type="dxa" w:w="1440"/>
          </w:tcPr>
          <w:p>
            <w:r>
              <w:t>v5b</w:t>
            </w:r>
          </w:p>
        </w:tc>
        <w:tc>
          <w:tcPr>
            <w:tcW w:type="dxa" w:w="1440"/>
          </w:tcPr>
          <w:p>
            <w:r>
              <w:rPr>
                <w:b/>
              </w:rPr>
              <w:t>−0.47% [−0.73, −0.20] sig</w:t>
            </w:r>
            <w:r/>
          </w:p>
        </w:tc>
        <w:tc>
          <w:tcPr>
            <w:tcW w:type="dxa" w:w="1440"/>
          </w:tcPr>
          <w:p>
            <w:r>
              <w:t>−0.01% ns</w:t>
            </w:r>
          </w:p>
        </w:tc>
        <w:tc>
          <w:tcPr>
            <w:tcW w:type="dxa" w:w="1440"/>
          </w:tcPr>
          <w:p>
            <w:r>
              <w:rPr>
                <w:b/>
              </w:rPr>
              <w:t>−0.51% [−0.76, −0.26] sig</w:t>
            </w:r>
            <w:r/>
          </w:p>
        </w:tc>
        <w:tc>
          <w:tcPr>
            <w:tcW w:type="dxa" w:w="1440"/>
          </w:tcPr>
          <w:p>
            <w:r>
              <w:t>3,024,908</w:t>
            </w:r>
          </w:p>
        </w:tc>
      </w:tr>
      <w:tr>
        <w:tc>
          <w:tcPr>
            <w:tcW w:type="dxa" w:w="1440"/>
          </w:tcPr>
          <w:p>
            <w:r>
              <w:t>13+</w:t>
            </w:r>
          </w:p>
        </w:tc>
        <w:tc>
          <w:tcPr>
            <w:tcW w:type="dxa" w:w="1440"/>
          </w:tcPr>
          <w:p>
            <w:r>
              <w:t>v6</w:t>
            </w:r>
          </w:p>
        </w:tc>
        <w:tc>
          <w:tcPr>
            <w:tcW w:type="dxa" w:w="1440"/>
          </w:tcPr>
          <w:p>
            <w:r>
              <w:rPr>
                <w:b/>
              </w:rPr>
              <w:t>+0.91% [+0.64, +1.17] sig</w:t>
            </w:r>
            <w:r/>
          </w:p>
        </w:tc>
        <w:tc>
          <w:tcPr>
            <w:tcW w:type="dxa" w:w="1440"/>
          </w:tcPr>
          <w:p>
            <w:r>
              <w:t>−0.05% ns</w:t>
            </w:r>
          </w:p>
        </w:tc>
        <w:tc>
          <w:tcPr>
            <w:tcW w:type="dxa" w:w="1440"/>
          </w:tcPr>
          <w:p>
            <w:r>
              <w:rPr>
                <w:b/>
              </w:rPr>
              <w:t>+1.00% [+0.75, +1.24] sig</w:t>
            </w:r>
            <w:r/>
          </w:p>
        </w:tc>
        <w:tc>
          <w:tcPr>
            <w:tcW w:type="dxa" w:w="1440"/>
          </w:tcPr>
          <w:p>
            <w:r>
              <w:t>3,026,738</w:t>
            </w:r>
          </w:p>
        </w:tc>
      </w:tr>
    </w:tbl>
    <w:p/>
    <w:p>
      <w:r>
        <w:t>Control n by band: 1–3 1,625,693 · 4–6 2,083,803 · 7–9 2,203,437 · 10–12 2,346,917 · 13+ 3,022,206.</w:t>
      </w:r>
    </w:p>
    <w:p>
      <w:pPr>
        <w:pStyle w:val="ListBullet"/>
      </w:pPr>
      <w:r>
        <w:rPr>
          <w:b/>
        </w:rPr>
        <w:t>10–12 is the positive pocket for every arm</w:t>
      </w:r>
      <w:r>
        <w:t>, biggest on v6 (+4.80%) then v5b (+4.03%); v4 +1.73%. TVT flat.</w:t>
      </w:r>
    </w:p>
    <w:p>
      <w:pPr>
        <w:pStyle w:val="ListBullet"/>
      </w:pPr>
      <w:r>
        <w:rPr>
          <w:b/>
        </w:rPr>
        <w:t>13+</w:t>
      </w:r>
      <w:r>
        <w:t xml:space="preserve"> loses on v4 and v5b (−1.53%, −0.47%); v6 is now modestly positive (+0.91%, interval [+0.64, +1.17]). TVT flat.</w:t>
      </w:r>
    </w:p>
    <w:p>
      <w:pPr>
        <w:pStyle w:val="ListBullet"/>
      </w:pPr>
      <w:r>
        <w:rPr>
          <w:b/>
        </w:rPr>
        <w:t>4–6</w:t>
      </w:r>
      <w:r>
        <w:t xml:space="preserve"> loses on v4 and v6 (−1.40%, −1.93%); v5b is +0.67% sig. </w:t>
      </w:r>
      <w:r>
        <w:rPr>
          <w:b/>
        </w:rPr>
        <w:t>7–9</w:t>
      </w:r>
      <w:r>
        <w:t xml:space="preserve"> gains on v5b and v6 (+2.92%, +1.66%); v4 +0.69% sig. </w:t>
      </w:r>
      <w:r>
        <w:rPr>
          <w:b/>
        </w:rPr>
        <w:t>1–3</w:t>
      </w:r>
      <w:r>
        <w:t xml:space="preserve"> is flat on revenue (v5b impressions −0.62% sig). The only significant band-level TVT move is v5b 1–3 (−0.53% sig).</w:t>
      </w:r>
    </w:p>
    <w:p>
      <w:pPr>
        <w:pStyle w:val="Heading2"/>
      </w:pPr>
      <w:r>
        <w:t>2b. Below-control versus at-or-above-control</w:t>
      </w:r>
    </w:p>
    <w:p>
      <w:r>
        <w:t xml:space="preserve">Built from the served cue lists in `ml_dev.tmp.abf3_new_pruner_cuepoints` (snapshot 2026-10-08; T1 = v4, T2 = v6, T3 = v5b). Each dense-band title is tagged by whether that arm kept </w:t>
      </w:r>
      <w:r>
        <w:rPr>
          <w:b/>
        </w:rPr>
        <w:t>fewer</w:t>
      </w:r>
      <w:r>
        <w:t xml:space="preserve"> cue points than its ABF2 control count or </w:t>
      </w:r>
      <w:r>
        <w:rPr>
          <w:b/>
        </w:rPr>
        <w:t>at or above</w:t>
      </w:r>
      <w:r>
        <w:t xml:space="preser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rPr>
                <w:b/>
              </w:rPr>
              <w:t>−4.47% [−4.93, −4.01] sig</w:t>
            </w:r>
            <w:r/>
          </w:p>
        </w:tc>
        <w:tc>
          <w:tcPr>
            <w:tcW w:type="dxa" w:w="1728"/>
          </w:tcPr>
          <w:p>
            <w:r>
              <w:t>+0.25% ns</w:t>
            </w:r>
          </w:p>
        </w:tc>
      </w:tr>
      <w:tr>
        <w:tc>
          <w:tcPr>
            <w:tcW w:type="dxa" w:w="1728"/>
          </w:tcPr>
          <w:p>
            <w:r>
              <w:t>10–12</w:t>
            </w:r>
          </w:p>
        </w:tc>
        <w:tc>
          <w:tcPr>
            <w:tcW w:type="dxa" w:w="1728"/>
          </w:tcPr>
          <w:p>
            <w:r>
              <w:t>below control</w:t>
            </w:r>
          </w:p>
        </w:tc>
        <w:tc>
          <w:tcPr>
            <w:tcW w:type="dxa" w:w="1728"/>
          </w:tcPr>
          <w:p>
            <w:r>
              <w:t>v5b</w:t>
            </w:r>
          </w:p>
        </w:tc>
        <w:tc>
          <w:tcPr>
            <w:tcW w:type="dxa" w:w="1728"/>
          </w:tcPr>
          <w:p>
            <w:r>
              <w:rPr>
                <w:b/>
              </w:rPr>
              <w:t>−1.83% [−2.64, −1.02] sig</w:t>
            </w:r>
            <w:r/>
          </w:p>
        </w:tc>
        <w:tc>
          <w:tcPr>
            <w:tcW w:type="dxa" w:w="1728"/>
          </w:tcPr>
          <w:p>
            <w:r>
              <w:t>+1.23% [+0.53, +1.93] sig</w:t>
            </w:r>
          </w:p>
        </w:tc>
      </w:tr>
      <w:tr>
        <w:tc>
          <w:tcPr>
            <w:tcW w:type="dxa" w:w="1728"/>
          </w:tcPr>
          <w:p>
            <w:r>
              <w:t>10–12</w:t>
            </w:r>
          </w:p>
        </w:tc>
        <w:tc>
          <w:tcPr>
            <w:tcW w:type="dxa" w:w="1728"/>
          </w:tcPr>
          <w:p>
            <w:r>
              <w:t>below control</w:t>
            </w:r>
          </w:p>
        </w:tc>
        <w:tc>
          <w:tcPr>
            <w:tcW w:type="dxa" w:w="1728"/>
          </w:tcPr>
          <w:p>
            <w:r>
              <w:t>v6</w:t>
            </w:r>
          </w:p>
        </w:tc>
        <w:tc>
          <w:tcPr>
            <w:tcW w:type="dxa" w:w="1728"/>
          </w:tcPr>
          <w:p>
            <w:r>
              <w:rPr>
                <w:b/>
              </w:rPr>
              <w:t>−3.78% [−4.58, −2.98] sig</w:t>
            </w:r>
            <w:r/>
          </w:p>
        </w:tc>
        <w:tc>
          <w:tcPr>
            <w:tcW w:type="dxa" w:w="1728"/>
          </w:tcPr>
          <w:p>
            <w:r>
              <w:t>+0.45% ns</w:t>
            </w:r>
          </w:p>
        </w:tc>
      </w:tr>
      <w:tr>
        <w:tc>
          <w:tcPr>
            <w:tcW w:type="dxa" w:w="1728"/>
          </w:tcPr>
          <w:p>
            <w:r>
              <w:t>10–12</w:t>
            </w:r>
          </w:p>
        </w:tc>
        <w:tc>
          <w:tcPr>
            <w:tcW w:type="dxa" w:w="1728"/>
          </w:tcPr>
          <w:p>
            <w:r>
              <w:t>at/above control</w:t>
            </w:r>
          </w:p>
        </w:tc>
        <w:tc>
          <w:tcPr>
            <w:tcW w:type="dxa" w:w="1728"/>
          </w:tcPr>
          <w:p>
            <w:r>
              <w:t>v4</w:t>
            </w:r>
          </w:p>
        </w:tc>
        <w:tc>
          <w:tcPr>
            <w:tcW w:type="dxa" w:w="1728"/>
          </w:tcPr>
          <w:p>
            <w:r>
              <w:rPr>
                <w:b/>
              </w:rPr>
              <w:t>+3.95% [+3.64, +4.26] sig</w:t>
            </w:r>
            <w:r/>
          </w:p>
        </w:tc>
        <w:tc>
          <w:tcPr>
            <w:tcW w:type="dxa" w:w="1728"/>
          </w:tcPr>
          <w:p>
            <w:r>
              <w:t>−0.13% ns</w:t>
            </w:r>
          </w:p>
        </w:tc>
      </w:tr>
      <w:tr>
        <w:tc>
          <w:tcPr>
            <w:tcW w:type="dxa" w:w="1728"/>
          </w:tcPr>
          <w:p>
            <w:r>
              <w:t>10–12</w:t>
            </w:r>
          </w:p>
        </w:tc>
        <w:tc>
          <w:tcPr>
            <w:tcW w:type="dxa" w:w="1728"/>
          </w:tcPr>
          <w:p>
            <w:r>
              <w:t>at/above control</w:t>
            </w:r>
          </w:p>
        </w:tc>
        <w:tc>
          <w:tcPr>
            <w:tcW w:type="dxa" w:w="1728"/>
          </w:tcPr>
          <w:p>
            <w:r>
              <w:t>v5b</w:t>
            </w:r>
          </w:p>
        </w:tc>
        <w:tc>
          <w:tcPr>
            <w:tcW w:type="dxa" w:w="1728"/>
          </w:tcPr>
          <w:p>
            <w:r>
              <w:rPr>
                <w:b/>
              </w:rPr>
              <w:t>+4.79% [+4.49, +5.09] sig</w:t>
            </w:r>
            <w:r/>
          </w:p>
        </w:tc>
        <w:tc>
          <w:tcPr>
            <w:tcW w:type="dxa" w:w="1728"/>
          </w:tcPr>
          <w:p>
            <w:r>
              <w:t>−0.18% ns</w:t>
            </w:r>
          </w:p>
        </w:tc>
      </w:tr>
      <w:tr>
        <w:tc>
          <w:tcPr>
            <w:tcW w:type="dxa" w:w="1728"/>
          </w:tcPr>
          <w:p>
            <w:r>
              <w:t>10–12</w:t>
            </w:r>
          </w:p>
        </w:tc>
        <w:tc>
          <w:tcPr>
            <w:tcW w:type="dxa" w:w="1728"/>
          </w:tcPr>
          <w:p>
            <w:r>
              <w:t>at/above control</w:t>
            </w:r>
          </w:p>
        </w:tc>
        <w:tc>
          <w:tcPr>
            <w:tcW w:type="dxa" w:w="1728"/>
          </w:tcPr>
          <w:p>
            <w:r>
              <w:t>v6</w:t>
            </w:r>
          </w:p>
        </w:tc>
        <w:tc>
          <w:tcPr>
            <w:tcW w:type="dxa" w:w="1728"/>
          </w:tcPr>
          <w:p>
            <w:r>
              <w:rPr>
                <w:b/>
              </w:rPr>
              <w:t>+5.78% [+5.48, +6.08] sig</w:t>
            </w:r>
            <w:r/>
          </w:p>
        </w:tc>
        <w:tc>
          <w:tcPr>
            <w:tcW w:type="dxa" w:w="1728"/>
          </w:tcPr>
          <w:p>
            <w:r>
              <w:t>−0.32% [−0.58, −0.06] sig</w:t>
            </w:r>
          </w:p>
        </w:tc>
      </w:tr>
      <w:tr>
        <w:tc>
          <w:tcPr>
            <w:tcW w:type="dxa" w:w="1728"/>
          </w:tcPr>
          <w:p>
            <w:r>
              <w:t>13+</w:t>
            </w:r>
          </w:p>
        </w:tc>
        <w:tc>
          <w:tcPr>
            <w:tcW w:type="dxa" w:w="1728"/>
          </w:tcPr>
          <w:p>
            <w:r>
              <w:t>below control</w:t>
            </w:r>
          </w:p>
        </w:tc>
        <w:tc>
          <w:tcPr>
            <w:tcW w:type="dxa" w:w="1728"/>
          </w:tcPr>
          <w:p>
            <w:r>
              <w:t>v4</w:t>
            </w:r>
          </w:p>
        </w:tc>
        <w:tc>
          <w:tcPr>
            <w:tcW w:type="dxa" w:w="1728"/>
          </w:tcPr>
          <w:p>
            <w:r>
              <w:rPr>
                <w:b/>
              </w:rPr>
              <w:t>−3.60% [−3.89, −3.32] sig</w:t>
            </w:r>
            <w:r/>
          </w:p>
        </w:tc>
        <w:tc>
          <w:tcPr>
            <w:tcW w:type="dxa" w:w="1728"/>
          </w:tcPr>
          <w:p>
            <w:r>
              <w:t>+0.12% ns</w:t>
            </w:r>
          </w:p>
        </w:tc>
      </w:tr>
      <w:tr>
        <w:tc>
          <w:tcPr>
            <w:tcW w:type="dxa" w:w="1728"/>
          </w:tcPr>
          <w:p>
            <w:r>
              <w:t>13+</w:t>
            </w:r>
          </w:p>
        </w:tc>
        <w:tc>
          <w:tcPr>
            <w:tcW w:type="dxa" w:w="1728"/>
          </w:tcPr>
          <w:p>
            <w:r>
              <w:t>below control</w:t>
            </w:r>
          </w:p>
        </w:tc>
        <w:tc>
          <w:tcPr>
            <w:tcW w:type="dxa" w:w="1728"/>
          </w:tcPr>
          <w:p>
            <w:r>
              <w:t>v5b</w:t>
            </w:r>
          </w:p>
        </w:tc>
        <w:tc>
          <w:tcPr>
            <w:tcW w:type="dxa" w:w="1728"/>
          </w:tcPr>
          <w:p>
            <w:r>
              <w:rPr>
                <w:b/>
              </w:rPr>
              <w:t>−2.51% [−2.83, −2.20] sig</w:t>
            </w:r>
            <w:r/>
          </w:p>
        </w:tc>
        <w:tc>
          <w:tcPr>
            <w:tcW w:type="dxa" w:w="1728"/>
          </w:tcPr>
          <w:p>
            <w:r>
              <w:t>+0.06% ns</w:t>
            </w:r>
          </w:p>
        </w:tc>
      </w:tr>
      <w:tr>
        <w:tc>
          <w:tcPr>
            <w:tcW w:type="dxa" w:w="1728"/>
          </w:tcPr>
          <w:p>
            <w:r>
              <w:t>13+</w:t>
            </w:r>
          </w:p>
        </w:tc>
        <w:tc>
          <w:tcPr>
            <w:tcW w:type="dxa" w:w="1728"/>
          </w:tcPr>
          <w:p>
            <w:r>
              <w:t>below control</w:t>
            </w:r>
          </w:p>
        </w:tc>
        <w:tc>
          <w:tcPr>
            <w:tcW w:type="dxa" w:w="1728"/>
          </w:tcPr>
          <w:p>
            <w:r>
              <w:t>v6</w:t>
            </w:r>
          </w:p>
        </w:tc>
        <w:tc>
          <w:tcPr>
            <w:tcW w:type="dxa" w:w="1728"/>
          </w:tcPr>
          <w:p>
            <w:r>
              <w:rPr>
                <w:b/>
              </w:rPr>
              <w:t>−2.44% [−2.78, −2.10] sig</w:t>
            </w:r>
            <w:r/>
          </w:p>
        </w:tc>
        <w:tc>
          <w:tcPr>
            <w:tcW w:type="dxa" w:w="1728"/>
          </w:tcPr>
          <w:p>
            <w:r>
              <w:t>+0.26% ns</w:t>
            </w:r>
          </w:p>
        </w:tc>
      </w:tr>
      <w:tr>
        <w:tc>
          <w:tcPr>
            <w:tcW w:type="dxa" w:w="1728"/>
          </w:tcPr>
          <w:p>
            <w:r>
              <w:t>13+</w:t>
            </w:r>
          </w:p>
        </w:tc>
        <w:tc>
          <w:tcPr>
            <w:tcW w:type="dxa" w:w="1728"/>
          </w:tcPr>
          <w:p>
            <w:r>
              <w:t>at/above control</w:t>
            </w:r>
          </w:p>
        </w:tc>
        <w:tc>
          <w:tcPr>
            <w:tcW w:type="dxa" w:w="1728"/>
          </w:tcPr>
          <w:p>
            <w:r>
              <w:t>v4</w:t>
            </w:r>
          </w:p>
        </w:tc>
        <w:tc>
          <w:tcPr>
            <w:tcW w:type="dxa" w:w="1728"/>
          </w:tcPr>
          <w:p>
            <w:r>
              <w:rPr>
                <w:b/>
              </w:rPr>
              <w:t>+2.60% [+2.27, +2.93] sig</w:t>
            </w:r>
            <w:r/>
          </w:p>
        </w:tc>
        <w:tc>
          <w:tcPr>
            <w:tcW w:type="dxa" w:w="1728"/>
          </w:tcPr>
          <w:p>
            <w:r>
              <w:t>−0.22% ns</w:t>
            </w:r>
          </w:p>
        </w:tc>
      </w:tr>
      <w:tr>
        <w:tc>
          <w:tcPr>
            <w:tcW w:type="dxa" w:w="1728"/>
          </w:tcPr>
          <w:p>
            <w:r>
              <w:t>13+</w:t>
            </w:r>
          </w:p>
        </w:tc>
        <w:tc>
          <w:tcPr>
            <w:tcW w:type="dxa" w:w="1728"/>
          </w:tcPr>
          <w:p>
            <w:r>
              <w:t>at/above control</w:t>
            </w:r>
          </w:p>
        </w:tc>
        <w:tc>
          <w:tcPr>
            <w:tcW w:type="dxa" w:w="1728"/>
          </w:tcPr>
          <w:p>
            <w:r>
              <w:t>v5b</w:t>
            </w:r>
          </w:p>
        </w:tc>
        <w:tc>
          <w:tcPr>
            <w:tcW w:type="dxa" w:w="1728"/>
          </w:tcPr>
          <w:p>
            <w:r>
              <w:rPr>
                <w:b/>
              </w:rPr>
              <w:t>+2.20% [+1.89, +2.50] sig</w:t>
            </w:r>
            <w:r/>
          </w:p>
        </w:tc>
        <w:tc>
          <w:tcPr>
            <w:tcW w:type="dxa" w:w="1728"/>
          </w:tcPr>
          <w:p>
            <w:r>
              <w:t>−0.18% ns</w:t>
            </w:r>
          </w:p>
        </w:tc>
      </w:tr>
      <w:tr>
        <w:tc>
          <w:tcPr>
            <w:tcW w:type="dxa" w:w="1728"/>
          </w:tcPr>
          <w:p>
            <w:r>
              <w:t>13+</w:t>
            </w:r>
          </w:p>
        </w:tc>
        <w:tc>
          <w:tcPr>
            <w:tcW w:type="dxa" w:w="1728"/>
          </w:tcPr>
          <w:p>
            <w:r>
              <w:t>at/above control</w:t>
            </w:r>
          </w:p>
        </w:tc>
        <w:tc>
          <w:tcPr>
            <w:tcW w:type="dxa" w:w="1728"/>
          </w:tcPr>
          <w:p>
            <w:r>
              <w:t>v6</w:t>
            </w:r>
          </w:p>
        </w:tc>
        <w:tc>
          <w:tcPr>
            <w:tcW w:type="dxa" w:w="1728"/>
          </w:tcPr>
          <w:p>
            <w:r>
              <w:rPr>
                <w:b/>
              </w:rPr>
              <w:t>+3.00% [+2.72, +3.28] sig</w:t>
            </w:r>
            <w:r/>
          </w:p>
        </w:tc>
        <w:tc>
          <w:tcPr>
            <w:tcW w:type="dxa" w:w="1728"/>
          </w:tcPr>
          <w:p>
            <w:r>
              <w:t>−0.27% [−0.53, −0.01] sig</w:t>
            </w:r>
          </w:p>
        </w:tc>
      </w:tr>
    </w:tbl>
    <w:p/>
    <w:p>
      <w:r>
        <w:t xml:space="preserve">This reproduces the v8 defect on every arm. Titles served </w:t>
      </w:r>
      <w:r>
        <w:rPr>
          <w:b/>
        </w:rPr>
        <w:t>below control</w:t>
      </w:r>
      <w:r>
        <w:t xml:space="preserve"> lose 1.8–4.5% unbudgeted revenue; identical-band titles kept </w:t>
      </w:r>
      <w:r>
        <w:rPr>
          <w:b/>
        </w:rPr>
        <w:t>at or above control</w:t>
      </w:r>
      <w:r>
        <w:t xml:space="preserve"> gain 2.2–5.8%, with little TVT give-back (exceptions: v5b 10–12 below +1.23% sig; v6 10–12 at/above control −0.32% sig; v6 13+ at/above control −0.27% sig). Direct support for a per-title floor: never serve fewer cue points than the ABF2 control. How much of each arm sits below control in the dense bands (§B.4) drives its band result in §2a.</w:t>
      </w:r>
    </w:p>
    <w:p>
      <w:pPr>
        <w:pStyle w:val="Heading2"/>
      </w:pPr>
      <w:r>
        <w:t>2c. Movies versus episodes</w:t>
      </w:r>
    </w:p>
    <w:p>
      <w:r>
        <w:t>Device-level raw Welch, unbudgeted revenue/impressions, among devices who watched a targeted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+0.76% [+0.52, +1.00] sig</w:t>
            </w:r>
          </w:p>
        </w:tc>
        <w:tc>
          <w:tcPr>
            <w:tcW w:type="dxa" w:w="1440"/>
          </w:tcPr>
          <w:p>
            <w:r>
              <w:t>+0.07% ns</w:t>
            </w:r>
          </w:p>
        </w:tc>
        <w:tc>
          <w:tcPr>
            <w:tcW w:type="dxa" w:w="1440"/>
          </w:tcPr>
          <w:p>
            <w:r>
              <w:t>+0.82% sig</w:t>
            </w:r>
          </w:p>
        </w:tc>
        <w:tc>
          <w:tcPr>
            <w:tcW w:type="dxa" w:w="1440"/>
          </w:tcPr>
          <w:p>
            <w:r>
              <w:t>4,045,345</w:t>
            </w:r>
          </w:p>
        </w:tc>
      </w:tr>
      <w:tr>
        <w:tc>
          <w:tcPr>
            <w:tcW w:type="dxa" w:w="1440"/>
          </w:tcPr>
          <w:p>
            <w:r>
              <w:t>Movie</w:t>
            </w:r>
          </w:p>
        </w:tc>
        <w:tc>
          <w:tcPr>
            <w:tcW w:type="dxa" w:w="1440"/>
          </w:tcPr>
          <w:p>
            <w:r>
              <w:t>v5b</w:t>
            </w:r>
          </w:p>
        </w:tc>
        <w:tc>
          <w:tcPr>
            <w:tcW w:type="dxa" w:w="1440"/>
          </w:tcPr>
          <w:p>
            <w:r>
              <w:rPr>
                <w:b/>
              </w:rPr>
              <w:t>+2.40% [+2.15, +2.64] sig</w:t>
            </w:r>
            <w:r/>
          </w:p>
        </w:tc>
        <w:tc>
          <w:tcPr>
            <w:tcW w:type="dxa" w:w="1440"/>
          </w:tcPr>
          <w:p>
            <w:r>
              <w:t>−0.07% ns</w:t>
            </w:r>
          </w:p>
        </w:tc>
        <w:tc>
          <w:tcPr>
            <w:tcW w:type="dxa" w:w="1440"/>
          </w:tcPr>
          <w:p>
            <w:r>
              <w:rPr>
                <w:b/>
              </w:rPr>
              <w:t>+2.57% sig</w:t>
            </w:r>
            <w:r/>
          </w:p>
        </w:tc>
        <w:tc>
          <w:tcPr>
            <w:tcW w:type="dxa" w:w="1440"/>
          </w:tcPr>
          <w:p>
            <w:r>
              <w:t>4,044,707</w:t>
            </w:r>
          </w:p>
        </w:tc>
      </w:tr>
      <w:tr>
        <w:tc>
          <w:tcPr>
            <w:tcW w:type="dxa" w:w="1440"/>
          </w:tcPr>
          <w:p>
            <w:r>
              <w:t>Movie</w:t>
            </w:r>
          </w:p>
        </w:tc>
        <w:tc>
          <w:tcPr>
            <w:tcW w:type="dxa" w:w="1440"/>
          </w:tcPr>
          <w:p>
            <w:r>
              <w:t>v6</w:t>
            </w:r>
          </w:p>
        </w:tc>
        <w:tc>
          <w:tcPr>
            <w:tcW w:type="dxa" w:w="1440"/>
          </w:tcPr>
          <w:p>
            <w:r>
              <w:rPr>
                <w:b/>
              </w:rPr>
              <w:t>+3.67% [+3.42, +3.91] sig</w:t>
            </w:r>
            <w:r/>
          </w:p>
        </w:tc>
        <w:tc>
          <w:tcPr>
            <w:tcW w:type="dxa" w:w="1440"/>
          </w:tcPr>
          <w:p>
            <w:r>
              <w:t>−0.07% ns</w:t>
            </w:r>
          </w:p>
        </w:tc>
        <w:tc>
          <w:tcPr>
            <w:tcW w:type="dxa" w:w="1440"/>
          </w:tcPr>
          <w:p>
            <w:r>
              <w:rPr>
                <w:b/>
              </w:rPr>
              <w:t>+3.95% sig</w:t>
            </w:r>
            <w:r/>
          </w:p>
        </w:tc>
        <w:tc>
          <w:tcPr>
            <w:tcW w:type="dxa" w:w="1440"/>
          </w:tcPr>
          <w:p>
            <w:r>
              <w:t>4,046,901</w:t>
            </w:r>
          </w:p>
        </w:tc>
      </w:tr>
      <w:tr>
        <w:tc>
          <w:tcPr>
            <w:tcW w:type="dxa" w:w="1440"/>
          </w:tcPr>
          <w:p>
            <w:r>
              <w:t>Episode</w:t>
            </w:r>
          </w:p>
        </w:tc>
        <w:tc>
          <w:tcPr>
            <w:tcW w:type="dxa" w:w="1440"/>
          </w:tcPr>
          <w:p>
            <w:r>
              <w:t>v4</w:t>
            </w:r>
          </w:p>
        </w:tc>
        <w:tc>
          <w:tcPr>
            <w:tcW w:type="dxa" w:w="1440"/>
          </w:tcPr>
          <w:p>
            <w:r>
              <w:rPr>
                <w:b/>
              </w:rPr>
              <w:t>−1.26% [−1.62, −0.90] sig</w:t>
            </w:r>
            <w:r/>
          </w:p>
        </w:tc>
        <w:tc>
          <w:tcPr>
            <w:tcW w:type="dxa" w:w="1440"/>
          </w:tcPr>
          <w:p>
            <w:r>
              <w:t>+0.05% ns</w:t>
            </w:r>
          </w:p>
        </w:tc>
        <w:tc>
          <w:tcPr>
            <w:tcW w:type="dxa" w:w="1440"/>
          </w:tcPr>
          <w:p>
            <w:r>
              <w:rPr>
                <w:b/>
              </w:rPr>
              <w:t>−1.36% sig</w:t>
            </w:r>
            <w:r/>
          </w:p>
        </w:tc>
        <w:tc>
          <w:tcPr>
            <w:tcW w:type="dxa" w:w="1440"/>
          </w:tcPr>
          <w:p>
            <w:r>
              <w:t>2,852,592</w:t>
            </w:r>
          </w:p>
        </w:tc>
      </w:tr>
      <w:tr>
        <w:tc>
          <w:tcPr>
            <w:tcW w:type="dxa" w:w="1440"/>
          </w:tcPr>
          <w:p>
            <w:r>
              <w:t>Episode</w:t>
            </w:r>
          </w:p>
        </w:tc>
        <w:tc>
          <w:tcPr>
            <w:tcW w:type="dxa" w:w="1440"/>
          </w:tcPr>
          <w:p>
            <w:r>
              <w:t>v5b</w:t>
            </w:r>
          </w:p>
        </w:tc>
        <w:tc>
          <w:tcPr>
            <w:tcW w:type="dxa" w:w="1440"/>
          </w:tcPr>
          <w:p>
            <w:r>
              <w:rPr>
                <w:b/>
              </w:rPr>
              <w:t>−0.14% [−0.50, +0.22] ns</w:t>
            </w:r>
            <w:r/>
          </w:p>
        </w:tc>
        <w:tc>
          <w:tcPr>
            <w:tcW w:type="dxa" w:w="1440"/>
          </w:tcPr>
          <w:p>
            <w:r>
              <w:t>−0.23% ns</w:t>
            </w:r>
          </w:p>
        </w:tc>
        <w:tc>
          <w:tcPr>
            <w:tcW w:type="dxa" w:w="1440"/>
          </w:tcPr>
          <w:p>
            <w:r>
              <w:rPr>
                <w:b/>
              </w:rPr>
              <w:t>−0.30% ns</w:t>
            </w:r>
            <w:r/>
          </w:p>
        </w:tc>
        <w:tc>
          <w:tcPr>
            <w:tcW w:type="dxa" w:w="1440"/>
          </w:tcPr>
          <w:p>
            <w:r>
              <w:t>2,843,949</w:t>
            </w:r>
          </w:p>
        </w:tc>
      </w:tr>
      <w:tr>
        <w:tc>
          <w:tcPr>
            <w:tcW w:type="dxa" w:w="1440"/>
          </w:tcPr>
          <w:p>
            <w:r>
              <w:t>Episode</w:t>
            </w:r>
          </w:p>
        </w:tc>
        <w:tc>
          <w:tcPr>
            <w:tcW w:type="dxa" w:w="1440"/>
          </w:tcPr>
          <w:p>
            <w:r>
              <w:t>v6</w:t>
            </w:r>
          </w:p>
        </w:tc>
        <w:tc>
          <w:tcPr>
            <w:tcW w:type="dxa" w:w="1440"/>
          </w:tcPr>
          <w:p>
            <w:r>
              <w:rPr>
                <w:b/>
              </w:rPr>
              <w:t>−1.45% [−1.81, −1.09] sig</w:t>
            </w:r>
            <w:r/>
          </w:p>
        </w:tc>
        <w:tc>
          <w:tcPr>
            <w:tcW w:type="dxa" w:w="1440"/>
          </w:tcPr>
          <w:p>
            <w:r>
              <w:t>+0.03% ns</w:t>
            </w:r>
          </w:p>
        </w:tc>
        <w:tc>
          <w:tcPr>
            <w:tcW w:type="dxa" w:w="1440"/>
          </w:tcPr>
          <w:p>
            <w:r>
              <w:rPr>
                <w:b/>
              </w:rPr>
              <w:t>−1.51% sig</w:t>
            </w:r>
            <w:r/>
          </w:p>
        </w:tc>
        <w:tc>
          <w:tcPr>
            <w:tcW w:type="dxa" w:w="1440"/>
          </w:tcPr>
          <w:p>
            <w:r>
              <w:t>2,847,948</w:t>
            </w:r>
          </w:p>
        </w:tc>
      </w:tr>
    </w:tbl>
    <w:p/>
    <w:p>
      <w:r>
        <w:t>Control n: movies 4,041,944 · episodes 2,848,929. Movies gain on all three arms (v4 +0.76%, v5b +2.40%, v6 +3.67% — biggest on v6, which was built for 60–120 min movies). Episodes lose on v4 and v6 and are flat-to-negative on v5b (−0.14% ns), with no TVT give-back. The global unbudgeted picture is this mix — movie gains netting against episode losses.</w:t>
      </w:r>
    </w:p>
    <w:p>
      <w:r>
        <w:rPr>
          <w:b/>
        </w:rPr>
        <w:t>Placement — first-cue timing from the served lists.</w:t>
      </w:r>
      <w:r>
        <w:t xml:space="preserve"> Average first cue point (title-level, served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v6</w:t>
            </w:r>
          </w:p>
        </w:tc>
        <w:tc>
          <w:tcPr>
            <w:tcW w:type="dxa" w:w="2880"/>
          </w:tcPr>
          <w:p>
            <w:r>
              <w:t>~582s (9.7 min)</w:t>
            </w:r>
          </w:p>
        </w:tc>
        <w:tc>
          <w:tcPr>
            <w:tcW w:type="dxa" w:w="2880"/>
          </w:tcPr>
          <w:p>
            <w:r>
              <w:t>~532s (8.9 min)</w:t>
            </w:r>
          </w:p>
        </w:tc>
      </w:tr>
      <w:tr>
        <w:tc>
          <w:tcPr>
            <w:tcW w:type="dxa" w:w="2880"/>
          </w:tcPr>
          <w:p>
            <w:r>
              <w:t>v5b</w:t>
            </w:r>
          </w:p>
        </w:tc>
        <w:tc>
          <w:tcPr>
            <w:tcW w:type="dxa" w:w="2880"/>
          </w:tcPr>
          <w:p>
            <w:r>
              <w:t>~206s (3.4 min)</w:t>
            </w:r>
          </w:p>
        </w:tc>
        <w:tc>
          <w:tcPr>
            <w:tcW w:type="dxa" w:w="2880"/>
          </w:tcPr>
          <w:p>
            <w:r>
              <w:t>~269s (4.5 min)</w:t>
            </w:r>
          </w:p>
        </w:tc>
      </w:tr>
    </w:tbl>
    <w:p/>
    <w:p>
      <w:r>
        <w:t>v4 and v6 push the first episode cue ~3.5 min past ABF2, past the ~7-minute episode gate — the exact v8 series miss. v5b front-loads cues (3.4 min on episodes), so it does not share that deep episode loss.</w:t>
      </w:r>
    </w:p>
    <w:p>
      <w:r>
        <w:rPr>
          <w:b/>
        </w:rPr>
        <w:t>Gate replay — fireable breaks from the served positions.</w:t>
      </w:r>
      <w:r>
        <w:t xml:space="preserve"> Replay the pod gate (greedy first-eligible; episodes 420s initial / 600s spacing, movies 900s / 720s) over the ABF2 and served positions, TVT-weighted by band and type over the window. Same gate on both arms, so the delta is pure count and position.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4–6</w:t>
            </w:r>
          </w:p>
        </w:tc>
        <w:tc>
          <w:tcPr>
            <w:tcW w:type="dxa" w:w="1728"/>
          </w:tcPr>
          <w:p>
            <w:r>
              <w:t>+38.8%</w:t>
            </w:r>
          </w:p>
        </w:tc>
        <w:tc>
          <w:tcPr>
            <w:tcW w:type="dxa" w:w="1728"/>
          </w:tcPr>
          <w:p>
            <w:r>
              <w:t>+25.2%</w:t>
            </w:r>
          </w:p>
        </w:tc>
        <w:tc>
          <w:tcPr>
            <w:tcW w:type="dxa" w:w="1728"/>
          </w:tcPr>
          <w:p>
            <w:r>
              <w:t>+41.1%</w:t>
            </w:r>
          </w:p>
        </w:tc>
      </w:tr>
      <w:tr>
        <w:tc>
          <w:tcPr>
            <w:tcW w:type="dxa" w:w="1728"/>
          </w:tcPr>
          <w:p>
            <w:r>
              <w:t>Movie</w:t>
            </w:r>
          </w:p>
        </w:tc>
        <w:tc>
          <w:tcPr>
            <w:tcW w:type="dxa" w:w="1728"/>
          </w:tcPr>
          <w:p>
            <w:r>
              <w:t>7–9</w:t>
            </w:r>
          </w:p>
        </w:tc>
        <w:tc>
          <w:tcPr>
            <w:tcW w:type="dxa" w:w="1728"/>
          </w:tcPr>
          <w:p>
            <w:r>
              <w:t>+10.7%</w:t>
            </w:r>
          </w:p>
        </w:tc>
        <w:tc>
          <w:tcPr>
            <w:tcW w:type="dxa" w:w="1728"/>
          </w:tcPr>
          <w:p>
            <w:r>
              <w:t>+15.5%</w:t>
            </w:r>
          </w:p>
        </w:tc>
        <w:tc>
          <w:tcPr>
            <w:tcW w:type="dxa" w:w="1728"/>
          </w:tcPr>
          <w:p>
            <w:r>
              <w:t>+15.7%</w:t>
            </w:r>
          </w:p>
        </w:tc>
      </w:tr>
      <w:tr>
        <w:tc>
          <w:tcPr>
            <w:tcW w:type="dxa" w:w="1728"/>
          </w:tcPr>
          <w:p>
            <w:r>
              <w:t>Movie</w:t>
            </w:r>
          </w:p>
        </w:tc>
        <w:tc>
          <w:tcPr>
            <w:tcW w:type="dxa" w:w="1728"/>
          </w:tcPr>
          <w:p>
            <w:r>
              <w:t>10–12</w:t>
            </w:r>
          </w:p>
        </w:tc>
        <w:tc>
          <w:tcPr>
            <w:tcW w:type="dxa" w:w="1728"/>
          </w:tcPr>
          <w:p>
            <w:r>
              <w:t>+3.1%</w:t>
            </w:r>
          </w:p>
        </w:tc>
        <w:tc>
          <w:tcPr>
            <w:tcW w:type="dxa" w:w="1728"/>
          </w:tcPr>
          <w:p>
            <w:r>
              <w:t>+7.4%</w:t>
            </w:r>
          </w:p>
        </w:tc>
        <w:tc>
          <w:tcPr>
            <w:tcW w:type="dxa" w:w="1728"/>
          </w:tcPr>
          <w:p>
            <w:r>
              <w:t>+7.8%</w:t>
            </w:r>
          </w:p>
        </w:tc>
      </w:tr>
      <w:tr>
        <w:tc>
          <w:tcPr>
            <w:tcW w:type="dxa" w:w="1728"/>
          </w:tcPr>
          <w:p>
            <w:r>
              <w:t>Movie</w:t>
            </w:r>
          </w:p>
        </w:tc>
        <w:tc>
          <w:tcPr>
            <w:tcW w:type="dxa" w:w="1728"/>
          </w:tcPr>
          <w:p>
            <w:r>
              <w:t>13+</w:t>
            </w:r>
          </w:p>
        </w:tc>
        <w:tc>
          <w:tcPr>
            <w:tcW w:type="dxa" w:w="1728"/>
          </w:tcPr>
          <w:p>
            <w:r>
              <w:rPr>
                <w:b/>
              </w:rPr>
              <w:t>−4.5%</w:t>
            </w:r>
          </w:p>
        </w:tc>
        <w:tc>
          <w:tcPr>
            <w:tcW w:type="dxa" w:w="1728"/>
          </w:tcPr>
          <w:p>
            <w:r>
              <w:t>−1.8%</w:t>
            </w:r>
          </w:p>
        </w:tc>
        <w:tc>
          <w:tcPr>
            <w:tcW w:type="dxa" w:w="1728"/>
          </w:tcPr>
          <w:p>
            <w:r>
              <w:t>−0.9%</w:t>
            </w:r>
          </w:p>
        </w:tc>
      </w:tr>
      <w:tr>
        <w:tc>
          <w:tcPr>
            <w:tcW w:type="dxa" w:w="1728"/>
          </w:tcPr>
          <w:p>
            <w:r>
              <w:t>Episode</w:t>
            </w:r>
          </w:p>
        </w:tc>
        <w:tc>
          <w:tcPr>
            <w:tcW w:type="dxa" w:w="1728"/>
          </w:tcPr>
          <w:p>
            <w:r>
              <w:t>4–6</w:t>
            </w:r>
          </w:p>
        </w:tc>
        <w:tc>
          <w:tcPr>
            <w:tcW w:type="dxa" w:w="1728"/>
          </w:tcPr>
          <w:p>
            <w:r>
              <w:t>+0.4%</w:t>
            </w:r>
          </w:p>
        </w:tc>
        <w:tc>
          <w:tcPr>
            <w:tcW w:type="dxa" w:w="1728"/>
          </w:tcPr>
          <w:p>
            <w:r>
              <w:t>+6.1%</w:t>
            </w:r>
          </w:p>
        </w:tc>
        <w:tc>
          <w:tcPr>
            <w:tcW w:type="dxa" w:w="1728"/>
          </w:tcPr>
          <w:p>
            <w:r>
              <w:t>+0.5%</w:t>
            </w:r>
          </w:p>
        </w:tc>
      </w:tr>
      <w:tr>
        <w:tc>
          <w:tcPr>
            <w:tcW w:type="dxa" w:w="1728"/>
          </w:tcPr>
          <w:p>
            <w:r>
              <w:t>Episode</w:t>
            </w:r>
          </w:p>
        </w:tc>
        <w:tc>
          <w:tcPr>
            <w:tcW w:type="dxa" w:w="1728"/>
          </w:tcPr>
          <w:p>
            <w:r>
              <w:t>7–9</w:t>
            </w:r>
          </w:p>
        </w:tc>
        <w:tc>
          <w:tcPr>
            <w:tcW w:type="dxa" w:w="1728"/>
          </w:tcPr>
          <w:p>
            <w:r>
              <w:rPr>
                <w:b/>
              </w:rPr>
              <w:t>−3.6%</w:t>
            </w:r>
          </w:p>
        </w:tc>
        <w:tc>
          <w:tcPr>
            <w:tcW w:type="dxa" w:w="1728"/>
          </w:tcPr>
          <w:p>
            <w:r>
              <w:t>−0.6%</w:t>
            </w:r>
          </w:p>
        </w:tc>
        <w:tc>
          <w:tcPr>
            <w:tcW w:type="dxa" w:w="1728"/>
          </w:tcPr>
          <w:p>
            <w:r>
              <w:rPr>
                <w:b/>
              </w:rPr>
              <w:t>−3.8%</w:t>
            </w:r>
          </w:p>
        </w:tc>
      </w:tr>
      <w:tr>
        <w:tc>
          <w:tcPr>
            <w:tcW w:type="dxa" w:w="1728"/>
          </w:tcPr>
          <w:p>
            <w:r>
              <w:t>Episode</w:t>
            </w:r>
          </w:p>
        </w:tc>
        <w:tc>
          <w:tcPr>
            <w:tcW w:type="dxa" w:w="1728"/>
          </w:tcPr>
          <w:p>
            <w:r>
              <w:t>10–12</w:t>
            </w:r>
          </w:p>
        </w:tc>
        <w:tc>
          <w:tcPr>
            <w:tcW w:type="dxa" w:w="1728"/>
          </w:tcPr>
          <w:p>
            <w:r>
              <w:rPr>
                <w:b/>
              </w:rPr>
              <w:t>−3.1%</w:t>
            </w:r>
          </w:p>
        </w:tc>
        <w:tc>
          <w:tcPr>
            <w:tcW w:type="dxa" w:w="1728"/>
          </w:tcPr>
          <w:p>
            <w:r>
              <w:t>−1.8%</w:t>
            </w:r>
          </w:p>
        </w:tc>
        <w:tc>
          <w:tcPr>
            <w:tcW w:type="dxa" w:w="1728"/>
          </w:tcPr>
          <w:p>
            <w:r>
              <w:rPr>
                <w:b/>
              </w:rPr>
              <w:t>−3.2%</w:t>
            </w:r>
          </w:p>
        </w:tc>
      </w:tr>
      <w:tr>
        <w:tc>
          <w:tcPr>
            <w:tcW w:type="dxa" w:w="1728"/>
          </w:tcPr>
          <w:p>
            <w:r>
              <w:t>Episode</w:t>
            </w:r>
          </w:p>
        </w:tc>
        <w:tc>
          <w:tcPr>
            <w:tcW w:type="dxa" w:w="1728"/>
          </w:tcPr>
          <w:p>
            <w:r>
              <w:t>13+</w:t>
            </w:r>
          </w:p>
        </w:tc>
        <w:tc>
          <w:tcPr>
            <w:tcW w:type="dxa" w:w="1728"/>
          </w:tcPr>
          <w:p>
            <w:r>
              <w:rPr>
                <w:b/>
              </w:rPr>
              <w:t>−6.5%</w:t>
            </w:r>
          </w:p>
        </w:tc>
        <w:tc>
          <w:tcPr>
            <w:tcW w:type="dxa" w:w="1728"/>
          </w:tcPr>
          <w:p>
            <w:r>
              <w:rPr>
                <w:b/>
              </w:rPr>
              <w:t>−9.7%</w:t>
            </w:r>
          </w:p>
        </w:tc>
        <w:tc>
          <w:tcPr>
            <w:tcW w:type="dxa" w:w="1728"/>
          </w:tcPr>
          <w:p>
            <w:r>
              <w:rPr>
                <w:b/>
              </w:rPr>
              <w:t>−6.7%</w:t>
            </w:r>
          </w:p>
        </w:tc>
      </w:tr>
    </w:tbl>
    <w:p/>
    <w:p>
      <w:r>
        <w:t xml:space="preserve">The simulation reproduces the measured pattern: movies fire more breaks except in the densest band, dense episodes fire fewer, worst in 13+ episodes. Across the 15 arm×band cells (3 arms × 5 ABF2 bands, movies and episodes pooled) the simulated delta correlates with the measured per-band impression lift at </w:t>
      </w:r>
      <w:r>
        <w:rPr>
          <w:b/>
        </w:rPr>
        <w:t>r = 0.49</w:t>
      </w:r>
      <w:r>
        <w:t xml:space="preserve"> (weaker than v8’s 0.962 because the v10 benchmark is a short-window device-level impression lift, not v8’s dedicated realized-break measurement; direction and the dense-episode failure match).</w:t>
      </w:r>
    </w:p>
    <w:p>
      <w:r>
        <w:rPr>
          <w:b/>
        </w:rPr>
        <w:t>First fireable break after the gate (TVT-weighted seconds):</w:t>
      </w:r>
      <w:r>
        <w:t xml:space="preserve"> episodes ABF2 ~617s; v4 ~625s, v6 ~623s (slightly later), v5b ~596s (earlier). Movies ~1098s control; v4 +13s, v6 −1s, v5b +37s vs control. Unweighted title averages show a bigger episode gap (ABF2 ~619s, v4 ~661s, v6 ~658s, v5b ~596s), so the late first break sits mostly in lower-TVT titles.</w:t>
      </w:r>
    </w:p>
    <w:p>
      <w:r>
        <w:rPr>
          <w:b/>
        </w:rP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t>Arm</w:t>
            </w:r>
          </w:p>
        </w:tc>
        <w:tc>
          <w:tcPr>
            <w:tcW w:type="dxa" w:w="2160"/>
          </w:tcPr>
          <w:p>
            <w:r>
              <w:t>Total episode simΔ</w:t>
            </w:r>
          </w:p>
        </w:tc>
        <w:tc>
          <w:tcPr>
            <w:tcW w:type="dxa" w:w="2160"/>
          </w:tcPr>
          <w:p>
            <w:r>
              <w:t>from fewer cue points</w:t>
            </w:r>
          </w:p>
        </w:tc>
        <w:tc>
          <w:tcPr>
            <w:tcW w:type="dxa" w:w="2160"/>
          </w:tcPr>
          <w:p>
            <w:r>
              <w:t>from placement</w:t>
            </w:r>
          </w:p>
        </w:tc>
        <w:tc>
          <w:tcPr>
            <w:tcW w:type="dxa" w:w="2160"/>
          </w:tcPr>
          <w:p>
            <w:r>
              <w:t>from gains (at/above titles)</w:t>
            </w:r>
          </w:p>
        </w:tc>
      </w:tr>
      <w:tr>
        <w:tc>
          <w:tcPr>
            <w:tcW w:type="dxa" w:w="2160"/>
          </w:tcPr>
          <w:p>
            <w:r>
              <w:t>v4</w:t>
            </w:r>
          </w:p>
        </w:tc>
        <w:tc>
          <w:tcPr>
            <w:tcW w:type="dxa" w:w="2160"/>
          </w:tcPr>
          <w:p>
            <w:r>
              <w:t>+0.2%</w:t>
            </w:r>
          </w:p>
        </w:tc>
        <w:tc>
          <w:tcPr>
            <w:tcW w:type="dxa" w:w="2160"/>
          </w:tcPr>
          <w:p>
            <w:r>
              <w:t>−4.3%</w:t>
            </w:r>
          </w:p>
        </w:tc>
        <w:tc>
          <w:tcPr>
            <w:tcW w:type="dxa" w:w="2160"/>
          </w:tcPr>
          <w:p>
            <w:r>
              <w:t>−1.1%</w:t>
            </w:r>
          </w:p>
        </w:tc>
        <w:tc>
          <w:tcPr>
            <w:tcW w:type="dxa" w:w="2160"/>
          </w:tcPr>
          <w:p>
            <w:r>
              <w:t>+5.6%</w:t>
            </w:r>
          </w:p>
        </w:tc>
      </w:tr>
      <w:tr>
        <w:tc>
          <w:tcPr>
            <w:tcW w:type="dxa" w:w="2160"/>
          </w:tcPr>
          <w:p>
            <w:r>
              <w:t>v5b</w:t>
            </w:r>
          </w:p>
        </w:tc>
        <w:tc>
          <w:tcPr>
            <w:tcW w:type="dxa" w:w="2160"/>
          </w:tcPr>
          <w:p>
            <w:r>
              <w:t>+4.6%</w:t>
            </w:r>
          </w:p>
        </w:tc>
        <w:tc>
          <w:tcPr>
            <w:tcW w:type="dxa" w:w="2160"/>
          </w:tcPr>
          <w:p>
            <w:r>
              <w:t>−1.1%</w:t>
            </w:r>
          </w:p>
        </w:tc>
        <w:tc>
          <w:tcPr>
            <w:tcW w:type="dxa" w:w="2160"/>
          </w:tcPr>
          <w:p>
            <w:r>
              <w:t>−2.1%</w:t>
            </w:r>
          </w:p>
        </w:tc>
        <w:tc>
          <w:tcPr>
            <w:tcW w:type="dxa" w:w="2160"/>
          </w:tcPr>
          <w:p>
            <w:r>
              <w:t>+7.8%</w:t>
            </w:r>
          </w:p>
        </w:tc>
      </w:tr>
      <w:tr>
        <w:tc>
          <w:tcPr>
            <w:tcW w:type="dxa" w:w="2160"/>
          </w:tcPr>
          <w:p>
            <w:r>
              <w:t>v6</w:t>
            </w:r>
          </w:p>
        </w:tc>
        <w:tc>
          <w:tcPr>
            <w:tcW w:type="dxa" w:w="2160"/>
          </w:tcPr>
          <w:p>
            <w:r>
              <w:t>+0.1%</w:t>
            </w:r>
          </w:p>
        </w:tc>
        <w:tc>
          <w:tcPr>
            <w:tcW w:type="dxa" w:w="2160"/>
          </w:tcPr>
          <w:p>
            <w:r>
              <w:t>−4.3%</w:t>
            </w:r>
          </w:p>
        </w:tc>
        <w:tc>
          <w:tcPr>
            <w:tcW w:type="dxa" w:w="2160"/>
          </w:tcPr>
          <w:p>
            <w:r>
              <w:t>−1.1%</w:t>
            </w:r>
          </w:p>
        </w:tc>
        <w:tc>
          <w:tcPr>
            <w:tcW w:type="dxa" w:w="2160"/>
          </w:tcPr>
          <w:p>
            <w:r>
              <w:t>+5.6%</w:t>
            </w:r>
          </w:p>
        </w:tc>
      </w:tr>
    </w:tbl>
    <w:p/>
    <w:p>
      <w:r>
        <w:t>For v4/v6 the episode deficit is mostly a count miss (dense episodes pruned below control) → a per-title floor fixes most of it. For v5b it is mostly placement → a gate-aware early cue is the bigger lever. Both are selection-time fixes, no model re-run.</w:t>
      </w:r>
    </w:p>
    <w:p>
      <w:r>
        <w:rPr>
          <w:b/>
        </w:rPr>
        <w:t>Realized-break density (non-empty pods per TVT-hour) — approximated.</w:t>
      </w:r>
      <w:r>
        <w:t xml:space="preserve"> Not reproduced here; the unbudgeted-impression lifts in §2a/§2c are the realized-delivery stand-in, and the gate replay is the fireable-break model that explains them.</w:t>
      </w:r>
    </w:p>
    <w:p>
      <w:pPr>
        <w:pStyle w:val="Heading2"/>
      </w:pPr>
      <w:r>
        <w:t>2d. Original batch versus top-up</w:t>
      </w:r>
    </w:p>
    <w:p>
      <w:r>
        <w:t>Does not apply to v10. v8 had two title batches; v10 is one ABF2 catalog and one pruner config per arm.</w:t>
      </w:r>
    </w:p>
    <w:p>
      <w:pPr>
        <w:pStyle w:val="Heading1"/>
      </w:pPr>
      <w:r>
        <w:t>3. Decision frame</w:t>
      </w:r>
    </w:p>
    <w:p>
      <w:r>
        <w:t xml:space="preserve">Read this as an early read on the extended window (through 2026-10-19), not a graduation call. Judge the money on total revenue, because the pruners add ad load that </w:t>
      </w:r>
      <w:r>
        <w:rPr>
          <w:b/>
        </w:rPr>
        <w:t>budgeted/guaranteed</w:t>
      </w:r>
      <w:r>
        <w:t xml:space="preserve"> demand fills — so the open-auction pool alone understates the gain.</w:t>
      </w:r>
    </w:p>
    <w:p>
      <w:pPr>
        <w:pStyle w:val="ListBullet"/>
      </w:pPr>
      <w:r>
        <w:rPr>
          <w:b/>
        </w:rPr>
        <w:t>v5b is the leading revenue arm.</w:t>
      </w:r>
      <w:r>
        <w:t xml:space="preserve"> Total revenue +1.113%, budgeted +2.861%, all-ad impressions +1.467%, all significant. On the treated titles its unbudgeted revenue is also significantly positive (+0.993%). The one caveat is a small TVT dip (−0.162% global, −0.231% on power viewers) — minor, but worth watching because v5b adds the most ad load.</w:t>
      </w:r>
    </w:p>
    <w:p>
      <w:pPr>
        <w:pStyle w:val="ListBullet"/>
      </w:pPr>
      <w:r>
        <w:rPr>
          <w:b/>
        </w:rPr>
        <w:t>v6 is the safer second.</w:t>
      </w:r>
      <w:r>
        <w:t xml:space="preserve"> Total revenue +0.529%, budgeted +0.936%, all-ad impressions +0.697%, on-title unbudgeted +0.920% — all significant, TVT flat (−0.025% ns). A smaller, steadier gain than v5b with less added load and no engagement signal.</w:t>
      </w:r>
    </w:p>
    <w:p>
      <w:pPr>
        <w:pStyle w:val="ListBullet"/>
      </w:pPr>
      <w:r>
        <w:rPr>
          <w:b/>
        </w:rPr>
        <w:t>v4 is roughly parity, not a clear loss.</w:t>
      </w:r>
      <w:r>
        <w:t xml:space="preserve"> Global total and unbudgeted revenue are both not significant (+0.025%, −0.055%), near its break-even design; but it is significantly negative on the treated titles (on-title unbudgeted −0.319%). Weakest of the three. TVT +0.113% ns.</w:t>
      </w:r>
    </w:p>
    <w:p>
      <w:pPr>
        <w:pStyle w:val="ListBullet"/>
      </w:pPr>
      <w:r>
        <w:rPr>
          <w:b/>
        </w:rPr>
        <w:t>TVT is safe.</w:t>
      </w:r>
      <w:r>
        <w:t xml:space="preserve"> The only significant TVT move is v5b’s −0.16% global (−0.23% on-title, −0.23% on power viewers); v4 and v6 are not significant. No arm trades meaningful engagement for the revenue. v5b’s small dip is the only item to monitor.</w:t>
      </w:r>
    </w:p>
    <w:p>
      <w:pPr>
        <w:pStyle w:val="ListBullet"/>
      </w:pPr>
      <w:r>
        <w:rPr>
          <w:b/>
        </w:rPr>
        <w:t>The episode loss is understood and fixable — it is upside, not a blocker.</w:t>
      </w:r>
      <w:r>
        <w:t xml:space="preserve"> v4 and v6 lose unbudgeted revenue on episodes (v5b −0.14% ns); the gate replay shows dense episodes fire fewer breaks (−6.5% to −9.7% in band 13+). For v4/v6 this is mostly a count miss (pruned below ABF2 on ~75% of dense episodes); for v5b mostly placement. A per-title floor plus an earlier episode cue would recover it at a TVT give-back bounded by the flat episode TVT here — so v5b’s and v6’s total-revenue gains should grow once episodes are fixed.</w:t>
      </w:r>
    </w:p>
    <w:p>
      <w:pPr>
        <w:pStyle w:val="ListBullet"/>
      </w:pPr>
      <w:r>
        <w:rPr>
          <w:b/>
        </w:rPr>
        <w:t>A longer window can still move the arms.</w:t>
      </w:r>
      <w:r>
        <w:t xml:space="preserve"> v5b and v6 are already significant on total revenue; v4 is parity. The extension from 10-15 to 10-19 removed v4’s small TVT “gain” and, with the corrected title set, the on-title gains are larger than in earlier versions; direction is stable across populations.</w:t>
      </w:r>
    </w:p>
    <w:p>
      <w:pPr>
        <w:pStyle w:val="Heading1"/>
      </w:pPr>
      <w:r>
        <w:t>Appendix A — v8 Window A</w:t>
      </w:r>
    </w:p>
    <w:p>
      <w:r>
        <w:t>Does not apply to v10. v8 had a pre-top-up and post-top-up window; v10 has one analysis window.</w:t>
      </w:r>
    </w:p>
    <w:p>
      <w:pPr>
        <w:pStyle w:val="Heading1"/>
      </w:pPr>
      <w:r>
        <w:t>Appendix B — checks that need served cue points or a second window</w:t>
      </w:r>
    </w:p>
    <w:p>
      <w:pPr>
        <w:pStyle w:val="Heading2"/>
      </w:pPr>
      <w:r>
        <w:t>B.1 What changed between windows</w:t>
      </w:r>
    </w:p>
    <w:p>
      <w:r>
        <w:t>Does not apply. One window.</w:t>
      </w:r>
    </w:p>
    <w:p>
      <w:pPr>
        <w:pStyle w:val="Heading2"/>
      </w:pPr>
      <w:r>
        <w:t>B.2 Title-driven versus time-driven TVT</w:t>
      </w:r>
    </w:p>
    <w:p>
      <w:r>
        <w:t>Does not apply. There is no second title batch, and global TVT is near flat.</w:t>
      </w:r>
    </w:p>
    <w:p>
      <w:pPr>
        <w:pStyle w:val="Heading2"/>
      </w:pPr>
      <w:r>
        <w:t>B.3 Carryover</w:t>
      </w:r>
    </w:p>
    <w:p>
      <w:r>
        <w:t>Does not apply in this draft. The test was restarted 2026-10-09, so almost every device is newly exposed to this config.</w:t>
      </w:r>
    </w:p>
    <w:p>
      <w:pPr>
        <w:pStyle w:val="Heading2"/>
      </w:pPr>
      <w:r>
        <w:t>B.4 Cue points per hour versus ABF2</w:t>
      </w:r>
    </w:p>
    <w:p>
      <w:r>
        <w:t>From the served counts and durations in `ml_dev.tmp.abf3_new_pruner_cuepoints`.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p>
      <w:r>
        <w:t>v4 and v6 run ~21% lighter than ABF2 on episodes (the same under-density that drove v8’s shortfall); v5b holds ABF2 density. Share of titles served below / equal / above control, by band and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r>
        <w:t xml:space="preserve">On dense </w:t>
      </w:r>
      <w:r>
        <w:rPr>
          <w:b/>
        </w:rPr>
        <w:t>movies</w:t>
      </w:r>
      <w:r>
        <w:t xml:space="preserve"> v6/v5b serve more than control on most titles (v6 65% of 10–12 movies) — the source of their movie gains. On dense </w:t>
      </w:r>
      <w:r>
        <w:rPr>
          <w:b/>
        </w:rPr>
        <w:t>episodes</w:t>
      </w:r>
      <w:r>
        <w:t xml:space="preserve"> all three are below control on ~75% of titles — the source of the episode loss. No arm carries a floor yet.</w:t>
      </w:r>
    </w:p>
    <w:p>
      <w:pPr>
        <w:pStyle w:val="Heading2"/>
      </w:pPr>
      <w:r>
        <w:t>B.5 Revenue-pool diagnostic — is the budgeted lift incremental?</w:t>
      </w:r>
    </w:p>
    <w:p>
      <w:r>
        <w:rPr>
          <w:b/>
        </w:rPr>
        <w:t>Window note (2026-10-20):</w:t>
      </w:r>
      <w:r>
        <w:t xml:space="preserve"> the impression-pool table below is refreshed on the 2026-10-09 → 2026-10-19 window. The pacing, shift-share, rollout-range and pre-roll analysis in this section (the verdict and items 1–6, with their device counts, dollar figures and percentages) was computed on the earlier 2026-10-09 → 2026-10-15 window and was not re-run — read it as the 10-15 analysis.</w:t>
      </w:r>
    </w:p>
    <w:p>
      <w:r>
        <w:t>The gain is concentrated in budgeted/guaranteed demand, so a per-device A/B can overstate it (budgets pace platform-wide and can shift between arms). Diagnostic on the impression pools (CUPED):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+0.464% sig</w:t>
            </w:r>
          </w:p>
        </w:tc>
        <w:tc>
          <w:tcPr>
            <w:tcW w:type="dxa" w:w="2880"/>
          </w:tcPr>
          <w:p>
            <w:r>
              <w:t>−0.086% ns</w:t>
            </w:r>
          </w:p>
        </w:tc>
      </w:tr>
      <w:tr>
        <w:tc>
          <w:tcPr>
            <w:tcW w:type="dxa" w:w="2880"/>
          </w:tcPr>
          <w:p>
            <w:r>
              <w:t>v5b</w:t>
            </w:r>
          </w:p>
        </w:tc>
        <w:tc>
          <w:tcPr>
            <w:tcW w:type="dxa" w:w="2880"/>
          </w:tcPr>
          <w:p>
            <w:r>
              <w:rPr>
                <w:b/>
              </w:rPr>
              <w:t>+3.482% sig</w:t>
            </w:r>
          </w:p>
        </w:tc>
        <w:tc>
          <w:tcPr>
            <w:tcW w:type="dxa" w:w="2880"/>
          </w:tcPr>
          <w:p>
            <w:r>
              <w:t>+0.303% sig</w:t>
            </w:r>
          </w:p>
        </w:tc>
      </w:tr>
      <w:tr>
        <w:tc>
          <w:tcPr>
            <w:tcW w:type="dxa" w:w="2880"/>
          </w:tcPr>
          <w:p>
            <w:r>
              <w:t>v6</w:t>
            </w:r>
          </w:p>
        </w:tc>
        <w:tc>
          <w:tcPr>
            <w:tcW w:type="dxa" w:w="2880"/>
          </w:tcPr>
          <w:p>
            <w:r>
              <w:t>+1.264% sig</w:t>
            </w:r>
          </w:p>
        </w:tc>
        <w:tc>
          <w:tcPr>
            <w:tcW w:type="dxa" w:w="2880"/>
          </w:tcPr>
          <w:p>
            <w:r>
              <w:t>+0.376% sig</w:t>
            </w:r>
          </w:p>
        </w:tc>
      </w:tr>
    </w:tbl>
    <w:p/>
    <w:p>
      <w:r>
        <w:rPr>
          <w:b/>
        </w:rPr>
        <w:t xml:space="preserve">Definitions used in this section. </w:t>
      </w:r>
      <w:r>
        <w:t xml:space="preserve">Budgeted / UnBudgeted / UnClassified follow the team revenue-category definition: UnBudgeted = PROGRAMMATIC_OPEN or PROGRAMMATIC_DIRECT, non-excluded advertisers, campaign budget NULL with a NULL-budget line item; UnClassified = the same for PROGRAMMATIC_OPEN from the excluded advertiser list; Budgeted = everything else. Filters: billable, US, movie/episode, non-sponsorship line items. Pre-roll = now_pos = 0; everything else is mid-roll. Lifts are raw device-level (no CUPED), so they differ slightly from the impression-pool table above, which uses the Appendix C definition.</w:t>
      </w:r>
    </w:p>
    <w:p>
      <w:r>
        <w:rPr>
          <w:b/>
        </w:rPr>
        <w:t xml:space="preserve">Verdict: the budgeted lift is mostly not incremental. </w:t>
      </w:r>
      <w:r>
        <w:t xml:space="preserve">About two-thirds (64%) of v5b’s measured total-revenue gain comes from line items that were already spending their full budget. On those, the extra ads move between arms rather than creating new revenue. The earlier read (“net-new fill, supply-constrained demand”) does not hold up once line-item pacing is checked.</w:t>
      </w:r>
    </w:p>
    <w:p>
      <w:pPr>
        <w:pStyle w:val="Heading3"/>
      </w:pPr>
      <w:r>
        <w:t xml:space="preserve">1. Most of the gain is on budget-capped line items</w:t>
      </w:r>
    </w:p>
    <w:p>
      <w:r>
        <w:t xml:space="preserve">Each budgeted line item’s platform-wide spend in the window was compared with its even-pace budget (budget × days in window ÷ flight days). v5b, one arm, 6 days:</w:t>
      </w:r>
    </w:p>
    <w:tbl>
      <w:tblPr>
        <w:tblStyle w:val="LightGrid-Accent1"/>
        <w:tblW w:type="auto" w:w="0"/>
        <w:tblLook w:firstColumn="1" w:firstRow="1" w:lastColumn="0" w:lastRow="0" w:noHBand="0" w:noVBand="1" w:val="04A0"/>
      </w:tblPr>
      <w:tblGrid>
        <w:gridCol w:w="3600"/>
        <w:gridCol w:w="1700"/>
        <w:gridCol w:w="2300"/>
        <w:gridCol w:w="1400"/>
      </w:tblGrid>
      <w:tr>
        <w:tc>
          <w:tcPr>
            <w:tcW w:type="dxa" w:w="3600"/>
          </w:tcPr>
          <w:p>
            <w:r>
              <w:rPr>
                <w:b/>
              </w:rPr>
              <w:t xml:space="preserve">Pool / line-item pacing</w:t>
            </w:r>
          </w:p>
        </w:tc>
        <w:tc>
          <w:tcPr>
            <w:tcW w:type="dxa" w:w="1700"/>
          </w:tcPr>
          <w:p>
            <w:r>
              <w:rPr>
                <w:b/>
              </w:rPr>
              <w:t xml:space="preserve">Share of budgeted rev</w:t>
            </w:r>
          </w:p>
        </w:tc>
        <w:tc>
          <w:tcPr>
            <w:tcW w:type="dxa" w:w="2300"/>
          </w:tcPr>
          <w:p>
            <w:r>
              <w:rPr>
                <w:b/>
              </w:rPr>
              <w:t xml:space="preserve">v5b lift [95% CI]</w:t>
            </w:r>
          </w:p>
        </w:tc>
        <w:tc>
          <w:tcPr>
            <w:tcW w:type="dxa" w:w="1400"/>
          </w:tcPr>
          <w:p>
            <w:r>
              <w:rPr>
                <w:b/>
              </w:rPr>
              <w:t xml:space="preserve">v5b $ gain</w:t>
            </w:r>
          </w:p>
        </w:tc>
      </w:tr>
      <w:tr>
        <w:tc>
          <w:tcPr>
            <w:tcW w:type="dxa" w:w="3600"/>
          </w:tcPr>
          <w:p>
            <w:r>
              <w:t xml:space="preserve">Budgeted — on pace (95–110% of budget)</w:t>
            </w:r>
          </w:p>
        </w:tc>
        <w:tc>
          <w:tcPr>
            <w:tcW w:type="dxa" w:w="1700"/>
          </w:tcPr>
          <w:p>
            <w:r>
              <w:t xml:space="preserve">68%</w:t>
            </w:r>
          </w:p>
        </w:tc>
        <w:tc>
          <w:tcPr>
            <w:tcW w:type="dxa" w:w="2300"/>
          </w:tcPr>
          <w:p>
            <w:r>
              <w:t xml:space="preserve">+2.75% [+2.48, +3.01]</w:t>
            </w:r>
          </w:p>
        </w:tc>
        <w:tc>
          <w:tcPr>
            <w:tcW w:type="dxa" w:w="1400"/>
          </w:tcPr>
          <w:p>
            <w:r>
              <w:t xml:space="preserve">$29.3K</w:t>
            </w:r>
          </w:p>
        </w:tc>
      </w:tr>
      <w:tr>
        <w:tc>
          <w:tcPr>
            <w:tcW w:type="dxa" w:w="3600"/>
          </w:tcPr>
          <w:p>
            <w:r>
              <w:t xml:space="preserve">Budgeted — under-delivering (&lt;95%)</w:t>
            </w:r>
          </w:p>
        </w:tc>
        <w:tc>
          <w:tcPr>
            <w:tcW w:type="dxa" w:w="1700"/>
          </w:tcPr>
          <w:p>
            <w:r>
              <w:t xml:space="preserve">8%</w:t>
            </w:r>
          </w:p>
        </w:tc>
        <w:tc>
          <w:tcPr>
            <w:tcW w:type="dxa" w:w="2300"/>
          </w:tcPr>
          <w:p>
            <w:r>
              <w:t xml:space="preserve">+2.26% [+1.91, +2.61]</w:t>
            </w:r>
          </w:p>
        </w:tc>
        <w:tc>
          <w:tcPr>
            <w:tcW w:type="dxa" w:w="1400"/>
          </w:tcPr>
          <w:p>
            <w:r>
              <w:t xml:space="preserve">$2.9K</w:t>
            </w:r>
          </w:p>
        </w:tc>
      </w:tr>
      <w:tr>
        <w:tc>
          <w:tcPr>
            <w:tcW w:type="dxa" w:w="3600"/>
          </w:tcPr>
          <w:p>
            <w:r>
              <w:t xml:space="preserve">Budgeted — ahead / catching up (&gt;110%)</w:t>
            </w:r>
          </w:p>
        </w:tc>
        <w:tc>
          <w:tcPr>
            <w:tcW w:type="dxa" w:w="1700"/>
          </w:tcPr>
          <w:p>
            <w:r>
              <w:t xml:space="preserve">10%</w:t>
            </w:r>
          </w:p>
        </w:tc>
        <w:tc>
          <w:tcPr>
            <w:tcW w:type="dxa" w:w="2300"/>
          </w:tcPr>
          <w:p>
            <w:r>
              <w:t xml:space="preserve">+1.82% [+1.55, +2.09]</w:t>
            </w:r>
          </w:p>
        </w:tc>
        <w:tc>
          <w:tcPr>
            <w:tcW w:type="dxa" w:w="1400"/>
          </w:tcPr>
          <w:p>
            <w:r>
              <w:t xml:space="preserve">$2.8K</w:t>
            </w:r>
          </w:p>
        </w:tc>
      </w:tr>
      <w:tr>
        <w:tc>
          <w:tcPr>
            <w:tcW w:type="dxa" w:w="3600"/>
          </w:tcPr>
          <w:p>
            <w:r>
              <w:t xml:space="preserve">Budgeted — no line-item budget (mostly PD from excluded advertisers)</w:t>
            </w:r>
          </w:p>
        </w:tc>
        <w:tc>
          <w:tcPr>
            <w:tcW w:type="dxa" w:w="1700"/>
          </w:tcPr>
          <w:p>
            <w:r>
              <w:t xml:space="preserve">13%</w:t>
            </w:r>
          </w:p>
        </w:tc>
        <w:tc>
          <w:tcPr>
            <w:tcW w:type="dxa" w:w="2300"/>
          </w:tcPr>
          <w:p>
            <w:r>
              <w:t xml:space="preserve">+0.41% [+0.11, +0.71]</w:t>
            </w:r>
          </w:p>
        </w:tc>
        <w:tc>
          <w:tcPr>
            <w:tcW w:type="dxa" w:w="1400"/>
          </w:tcPr>
          <w:p>
            <w:r>
              <w:t xml:space="preserve">$0.9K</w:t>
            </w:r>
          </w:p>
        </w:tc>
      </w:tr>
      <w:tr>
        <w:tc>
          <w:tcPr>
            <w:tcW w:type="dxa" w:w="3600"/>
          </w:tcPr>
          <w:p>
            <w:r>
              <w:rPr>
                <w:b/>
              </w:rPr>
              <w:t xml:space="preserve">Budgeted total</w:t>
            </w:r>
          </w:p>
        </w:tc>
        <w:tc>
          <w:tcPr>
            <w:tcW w:type="dxa" w:w="1700"/>
          </w:tcPr>
          <w:p>
            <w:r>
              <w:t xml:space="preserve">100%</w:t>
            </w:r>
          </w:p>
        </w:tc>
        <w:tc>
          <w:tcPr>
            <w:tcW w:type="dxa" w:w="2300"/>
          </w:tcPr>
          <w:p>
            <w:r>
              <w:rPr>
                <w:b/>
              </w:rPr>
              <w:t xml:space="preserve">+2.30% [+2.04, +2.55]</w:t>
            </w:r>
          </w:p>
        </w:tc>
        <w:tc>
          <w:tcPr>
            <w:tcW w:type="dxa" w:w="1400"/>
          </w:tcPr>
          <w:p>
            <w:r>
              <w:rPr>
                <w:b/>
              </w:rPr>
              <w:t xml:space="preserve">$35.9K</w:t>
            </w:r>
          </w:p>
        </w:tc>
      </w:tr>
      <w:tr>
        <w:tc>
          <w:tcPr>
            <w:tcW w:type="dxa" w:w="3600"/>
          </w:tcPr>
          <w:p>
            <w:r>
              <w:t xml:space="preserve">UnBudgeted</w:t>
            </w:r>
          </w:p>
        </w:tc>
        <w:tc>
          <w:tcPr>
            <w:tcW w:type="dxa" w:w="1700"/>
          </w:tcPr>
          <w:p>
            <w:r>
              <w:t xml:space="preserve">—</w:t>
            </w:r>
          </w:p>
        </w:tc>
        <w:tc>
          <w:tcPr>
            <w:tcW w:type="dxa" w:w="2300"/>
          </w:tcPr>
          <w:p>
            <w:r>
              <w:t xml:space="preserve">+0.20% [−0.03, +0.43] ns</w:t>
            </w:r>
          </w:p>
        </w:tc>
        <w:tc>
          <w:tcPr>
            <w:tcW w:type="dxa" w:w="1400"/>
          </w:tcPr>
          <w:p>
            <w:r>
              <w:t xml:space="preserve">$3.7K</w:t>
            </w:r>
          </w:p>
        </w:tc>
      </w:tr>
      <w:tr>
        <w:tc>
          <w:tcPr>
            <w:tcW w:type="dxa" w:w="3600"/>
          </w:tcPr>
          <w:p>
            <w:r>
              <w:t xml:space="preserve">UnClassified</w:t>
            </w:r>
          </w:p>
        </w:tc>
        <w:tc>
          <w:tcPr>
            <w:tcW w:type="dxa" w:w="1700"/>
          </w:tcPr>
          <w:p>
            <w:r>
              <w:t xml:space="preserve">—</w:t>
            </w:r>
          </w:p>
        </w:tc>
        <w:tc>
          <w:tcPr>
            <w:tcW w:type="dxa" w:w="2300"/>
          </w:tcPr>
          <w:p>
            <w:r>
              <w:t xml:space="preserve">+0.51% [+0.21, +0.80]</w:t>
            </w:r>
          </w:p>
        </w:tc>
        <w:tc>
          <w:tcPr>
            <w:tcW w:type="dxa" w:w="1400"/>
          </w:tcPr>
          <w:p>
            <w:r>
              <w:t xml:space="preserve">$5.9K</w:t>
            </w:r>
          </w:p>
        </w:tc>
      </w:tr>
      <w:tr>
        <w:tc>
          <w:tcPr>
            <w:tcW w:type="dxa" w:w="3600"/>
          </w:tcPr>
          <w:p>
            <w:r>
              <w:rPr>
                <w:b/>
              </w:rPr>
              <w:t xml:space="preserve">Total revenue</w:t>
            </w:r>
          </w:p>
        </w:tc>
        <w:tc>
          <w:tcPr>
            <w:tcW w:type="dxa" w:w="1700"/>
          </w:tcPr>
          <w:p>
            <w:r>
              <w:t xml:space="preserve">—</w:t>
            </w:r>
          </w:p>
        </w:tc>
        <w:tc>
          <w:tcPr>
            <w:tcW w:type="dxa" w:w="2300"/>
          </w:tcPr>
          <w:p>
            <w:r>
              <w:rPr>
                <w:b/>
              </w:rPr>
              <w:t xml:space="preserve">+0.99% [+0.76, +1.23]</w:t>
            </w:r>
          </w:p>
        </w:tc>
        <w:tc>
          <w:tcPr>
            <w:tcW w:type="dxa" w:w="1400"/>
          </w:tcPr>
          <w:p>
            <w:r>
              <w:rPr>
                <w:b/>
              </w:rPr>
              <w:t xml:space="preserve">$45.5K</w:t>
            </w:r>
          </w:p>
        </w:tc>
      </w:tr>
    </w:tbl>
    <w:p/>
    <w:p>
      <w:pPr>
        <w:pStyle w:val="ListBullet"/>
      </w:pPr>
      <w:r>
        <w:rPr>
          <w:b/>
        </w:rPr>
        <w:t xml:space="preserve">On-pace line items were capped before the test. </w:t>
      </w:r>
      <w:r>
        <w:t xml:space="preserve">They paced at ~0.99 of budget in the pre-period too (Sep 25 – Oct 8), so the cap is not caused by v5b.</w:t>
      </w:r>
    </w:p>
    <w:p>
      <w:pPr>
        <w:pStyle w:val="ListBullet"/>
      </w:pPr>
      <w:r>
        <w:rPr>
          <w:b/>
        </w:rPr>
        <w:t xml:space="preserve">The pacer is turning demand away. </w:t>
      </w:r>
      <w:r>
        <w:t xml:space="preserve">In the bid logs (Oct 12–14), the pacer rejected ~23% of eligible opportunities on these line items (Control: 3.4 PACING_PACER_REJECTED vs 11.6 wins per device). Budgeted demand is limited by budget, not by supply.</w:t>
      </w:r>
    </w:p>
    <w:p>
      <w:pPr>
        <w:pStyle w:val="ListBullet"/>
      </w:pPr>
      <w:r>
        <w:rPr>
          <w:b/>
        </w:rPr>
        <w:t xml:space="preserve">The gain is spread evenly, not concentrated. </w:t>
      </w:r>
      <w:r>
        <w:t xml:space="preserve">1,080 of 1,203 budgeted line items gained; the top 10 are only 18% of the gain. That is what proportional pacing looks like, not a few supply-starved campaigns.</w:t>
      </w:r>
    </w:p>
    <w:p>
      <w:pPr>
        <w:pStyle w:val="ListBullet"/>
      </w:pPr>
      <w:r>
        <w:rPr>
          <w:b/>
        </w:rPr>
        <w:t xml:space="preserve">Why the per-device test cannot see this. </w:t>
      </w:r>
      <w:r>
        <w:t xml:space="preserve">The pacer serves the same share of opportunities on every device in every arm, so a v5b device with more breaks gets proportionally more budgeted ads even when the line item is capped. The pacer then trims slightly across the whole platform, which lands on Control too.</w:t>
      </w:r>
    </w:p>
    <w:p>
      <w:pPr>
        <w:pStyle w:val="Heading3"/>
      </w:pPr>
      <w:r>
        <w:t xml:space="preserve">2. Why the lift looks “budgeted-concentrated”: placement mix</w:t>
      </w:r>
    </w:p>
    <w:p>
      <w:r>
        <w:t xml:space="preserve">A shift-share split of v5b’s +2.82% budgeted-impression lift by content type × playback position: </w:t>
      </w:r>
      <w:r>
        <w:rPr>
          <w:b/>
        </w:rPr>
        <w:t xml:space="preserve">+2.98pp comes from where the extra ads land, −0.16pp from budgeted taking a bigger share within the same slots.</w:t>
      </w:r>
      <w:r>
        <w:t xml:space="preserve"> v5b moves episode inventory out of pre-roll, where only 16% of revenue is budgeted, into mid-rolls, where 33% is budgeted (movies: 13% vs 39%). Within any given slot, the pools split new impressions in Control’s ratio.</w:t>
      </w:r>
    </w:p>
    <w:p>
      <w:pPr>
        <w:pStyle w:val="Heading3"/>
      </w:pPr>
      <w:r>
        <w:t xml:space="preserve">3. Rollout-equivalent range</w:t>
      </w:r>
    </w:p>
    <w:tbl>
      <w:tblPr>
        <w:tblStyle w:val="LightGrid-Accent1"/>
        <w:tblW w:type="auto" w:w="0"/>
        <w:tblLook w:firstColumn="1" w:firstRow="1" w:lastColumn="0" w:lastRow="0" w:noHBand="0" w:noVBand="1" w:val="04A0"/>
      </w:tblPr>
      <w:tblGrid>
        <w:gridCol w:w="4600"/>
        <w:gridCol w:w="2200"/>
        <w:gridCol w:w="2200"/>
      </w:tblGrid>
      <w:tr>
        <w:tc>
          <w:tcPr>
            <w:tcW w:type="dxa" w:w="4600"/>
          </w:tcPr>
          <w:p>
            <w:r>
              <w:rPr>
                <w:b/>
              </w:rPr>
              <w:t xml:space="preserve">Scenario</w:t>
            </w:r>
          </w:p>
        </w:tc>
        <w:tc>
          <w:tcPr>
            <w:tcW w:type="dxa" w:w="2200"/>
          </w:tcPr>
          <w:p>
            <w:r>
              <w:rPr>
                <w:b/>
              </w:rPr>
              <w:t xml:space="preserve">v5b total revenue</w:t>
            </w:r>
          </w:p>
        </w:tc>
        <w:tc>
          <w:tcPr>
            <w:tcW w:type="dxa" w:w="2200"/>
          </w:tcPr>
          <w:p>
            <w:r>
              <w:rPr>
                <w:b/>
              </w:rPr>
              <w:t xml:space="preserve">v6 total revenue</w:t>
            </w:r>
          </w:p>
        </w:tc>
      </w:tr>
      <w:tr>
        <w:tc>
          <w:tcPr>
            <w:tcW w:type="dxa" w:w="4600"/>
          </w:tcPr>
          <w:p>
            <w:r>
              <w:t xml:space="preserve">As measured (per-device A/B, raw)</w:t>
            </w:r>
          </w:p>
        </w:tc>
        <w:tc>
          <w:tcPr>
            <w:tcW w:type="dxa" w:w="2200"/>
          </w:tcPr>
          <w:p>
            <w:r>
              <w:t xml:space="preserve">+0.99%</w:t>
            </w:r>
          </w:p>
        </w:tc>
        <w:tc>
          <w:tcPr>
            <w:tcW w:type="dxa" w:w="2200"/>
          </w:tcPr>
          <w:p>
            <w:r>
              <w:t xml:space="preserve">+0.36%</w:t>
            </w:r>
          </w:p>
        </w:tc>
      </w:tr>
      <w:tr>
        <w:tc>
          <w:tcPr>
            <w:tcW w:type="dxa" w:w="4600"/>
          </w:tcPr>
          <w:p>
            <w:r>
              <w:t xml:space="preserve">Team-standard incremental bounds (UnBudgeted → UnBudgeted + UnClassified)</w:t>
            </w:r>
          </w:p>
        </w:tc>
        <w:tc>
          <w:tcPr>
            <w:tcW w:type="dxa" w:w="2200"/>
          </w:tcPr>
          <w:p>
            <w:r>
              <w:t xml:space="preserve">+0.08% to +0.21%</w:t>
            </w:r>
          </w:p>
        </w:tc>
        <w:tc>
          <w:tcPr>
            <w:tcW w:type="dxa" w:w="2200"/>
          </w:tcPr>
          <w:p>
            <w:r>
              <w:t xml:space="preserve">+0.07% to +0.13%</w:t>
            </w:r>
          </w:p>
        </w:tc>
      </w:tr>
      <w:tr>
        <w:tc>
          <w:tcPr>
            <w:tcW w:type="dxa" w:w="4600"/>
          </w:tcPr>
          <w:p>
            <w:r>
              <w:t xml:space="preserve">Floor: UnBudgeted + UnClassified + under-delivering + no-budget line items</w:t>
            </w:r>
          </w:p>
        </w:tc>
        <w:tc>
          <w:tcPr>
            <w:tcW w:type="dxa" w:w="2200"/>
          </w:tcPr>
          <w:p>
            <w:r>
              <w:t xml:space="preserve">~+0.29%</w:t>
            </w:r>
          </w:p>
        </w:tc>
        <w:tc>
          <w:tcPr>
            <w:tcW w:type="dxa" w:w="2200"/>
          </w:tcPr>
          <w:p>
            <w:r>
              <w:t xml:space="preserve">~+0.16%</w:t>
            </w:r>
          </w:p>
        </w:tc>
      </w:tr>
      <w:tr>
        <w:tc>
          <w:tcPr>
            <w:tcW w:type="dxa" w:w="4600"/>
          </w:tcPr>
          <w:p>
            <w:r>
              <w:t xml:space="preserve">Plus catching-up line items</w:t>
            </w:r>
          </w:p>
        </w:tc>
        <w:tc>
          <w:tcPr>
            <w:tcW w:type="dxa" w:w="2200"/>
          </w:tcPr>
          <w:p>
            <w:r>
              <w:t xml:space="preserve">~+0.35%</w:t>
            </w:r>
          </w:p>
        </w:tc>
        <w:tc>
          <w:tcPr>
            <w:tcW w:type="dxa" w:w="2200"/>
          </w:tcPr>
          <w:p>
            <w:r>
              <w:t xml:space="preserve">~+0.18%</w:t>
            </w:r>
          </w:p>
        </w:tc>
      </w:tr>
      <w:tr>
        <w:tc>
          <w:tcPr>
            <w:tcW w:type="dxa" w:w="4600"/>
          </w:tcPr>
          <w:p>
            <w:r>
              <w:t xml:space="preserve">Plus 50% open-auction backfill of slots capped line items no longer need</w:t>
            </w:r>
          </w:p>
        </w:tc>
        <w:tc>
          <w:tcPr>
            <w:tcW w:type="dxa" w:w="2200"/>
          </w:tcPr>
          <w:p>
            <w:r>
              <w:t xml:space="preserve">~+0.76%</w:t>
            </w:r>
          </w:p>
        </w:tc>
        <w:tc>
          <w:tcPr>
            <w:tcW w:type="dxa" w:w="2200"/>
          </w:tcPr>
          <w:p>
            <w:r>
              <w:t xml:space="preserve">~+0.30%</w:t>
            </w:r>
          </w:p>
        </w:tc>
      </w:tr>
    </w:tbl>
    <w:p/>
    <w:p>
      <w:r>
        <w:t xml:space="preserve">The team-standard row follows the DSA “Unbudgeted and Unclassified Revenue” guidance (lower bound = UnBudgeted, upper bound = UnBudgeted + UnClassified, budgeted treated as non-incremental); that guidance cites an earlier DSA analysis that found the same control-to-treatment shift of budgeted revenue. The pacing analysis above shows a small part of budgeted (under-delivering and no-budget line items) is also likely incremental, which is why the floor sits above the team-standard bound. Backfill is plausible but unmeasured: in mid-rolls the open auction pays more per impression than budgeted (UnBudgeted ~$12.2–12.8 and UnClassified ~$13.2–13.9 vs Budgeted ~$10.0–10.3 eCPM), and UnBudgeted mid-roll eCPM held flat on v5b despite the extra slots. At rollout the money from extra supply should show up in the UnBudgeted/UnClassified pools, not in Budgeted.</w:t>
      </w:r>
    </w:p>
    <w:p>
      <w:pPr>
        <w:pStyle w:val="Heading3"/>
      </w:pPr>
      <w:r>
        <w:t xml:space="preserve">4. Sales enablement</w:t>
      </w:r>
    </w:p>
    <w:p>
      <w:r>
        <w:t xml:space="preserve">The extra supply is real (+1.3% impressions, +2.8% budgeted impressions), but current bookings do not need it. The exception is under-delivering line items (8% of budgeted revenue), which gained +2.3% (sig): better delivery and likely fewer make-goods. The broader upside only turns into revenue if avails forecasting picks up the extra mid-roll supply and sales books against it. Worth flagging to sales and yield ops as potential, not as measured revenue.</w:t>
      </w:r>
    </w:p>
    <w:p>
      <w:pPr>
        <w:pStyle w:val="Heading3"/>
      </w:pPr>
      <w:r>
        <w:t xml:space="preserve">5. Recommendation: run a budget-split before booking v5b’s headline gain</w:t>
      </w:r>
    </w:p>
    <w:p>
      <w:pPr>
        <w:pStyle w:val="ListBullet"/>
      </w:pPr>
      <w:r>
        <w:rPr>
          <w:b/>
        </w:rPr>
        <w:t xml:space="preserve">Design: </w:t>
      </w:r>
      <w:r>
        <w:t xml:space="preserve">split each budgeted line item’s daily budget 50/50 between treatment and control devices, with independent pacers, for ≥2 weeks. Primary metric total revenue per device; secondary pacer-rejection rate, open-auction fill on freed slots, and under-delivering line-item delivery.</w:t>
      </w:r>
    </w:p>
    <w:p>
      <w:pPr>
        <w:pStyle w:val="ListBullet"/>
      </w:pPr>
      <w:r>
        <w:rPr>
          <w:b/>
        </w:rPr>
        <w:t xml:space="preserve">Fallback if pacers can’t be split: </w:t>
      </w:r>
      <w:r>
        <w:t xml:space="preserve">a 100% switchback (alternate v5b/control by day or daypart, ~4 weeks), or a staged rollout tracking platform-wide pacer rejections and open-auction impressions.</w:t>
      </w:r>
    </w:p>
    <w:p>
      <w:pPr>
        <w:pStyle w:val="ListBullet"/>
      </w:pPr>
      <w:r>
        <w:rPr>
          <w:b/>
        </w:rPr>
        <w:t xml:space="preserve">For this report: </w:t>
      </w:r>
      <w:r>
        <w:t xml:space="preserve">quote the conservative range (~+0.3% to ~+0.75%) alongside the headline, and label the headline as a per-device lift that includes budget reallocation.</w:t>
      </w:r>
    </w:p>
    <w:p>
      <w:pPr>
        <w:pStyle w:val="Heading3"/>
      </w:pPr>
      <w:r>
        <w:t xml:space="preserve">6. Separate finding: v5b loses episode pre-rolls</w:t>
      </w:r>
    </w:p>
    <w:p>
      <w:r>
        <w:t xml:space="preserve">On v5b, the share of episode views with a pre-roll drops from 60.5% to 49.3% (about 1 in 6 fewer; pre-roll = ad at now_pos = 0). Pre-roll impressions are −19.5% (≈ −$65K over the window, larger than v5b’s whole net gain), spread evenly across Budgeted, UnBudgeted and UnClassified; v4/v6 move only ~−2%. It is consistent across platforms, days and every first-cue bucket (including titles whose first v5b cue is past 7 min), so it is not caused by the early first cue; it looks arm-level (ad config or player). Needs an ad-engineering check; restoring pre-roll would materially improve v5b.</w:t>
      </w:r>
    </w:p>
    <w:p>
      <w:r>
        <w:t xml:space="preserve">Working tables: ml_dev.tmp.jv_abf10_bp2_* (category-tagged impressions, pacing classes, device-level pools) and ml_dev.tmp.jv_abf10_bp_pacer (bid-log pacer counts).</w:t>
      </w:r>
    </w:p>
    <w:p>
      <w:pPr>
        <w:pStyle w:val="Heading1"/>
      </w:pPr>
      <w:r>
        <w:t>Appendix C — Methods</w:t>
      </w:r>
    </w:p>
    <w:p>
      <w:pPr>
        <w:pStyle w:val="ListBullet"/>
      </w:pPr>
      <w:r>
        <w:rPr>
          <w:b/>
        </w:rPr>
        <w:t>Assignment.</w:t>
      </w:r>
      <w:r>
        <w:t xml:space="preserve"> One variant per device from `core_dev.statsig.exposures` for `ads_abf_3_v10_abf2_titles_only`; devices with more than one variant dropped. Outcomes require event time at/after first exposure.</w:t>
      </w:r>
    </w:p>
    <w:p>
      <w:pPr>
        <w:pStyle w:val="ListBullet"/>
      </w:pPr>
      <w:r>
        <w:rPr>
          <w:b/>
        </w:rPr>
        <w:t>Window.</w:t>
      </w:r>
      <w:r>
        <w:t xml:space="preserve"> Outcomes 2026-10-09 through 2026-10-19, capped at 2026-10-20 00:00 UTC (the exposures table is loaded through the end of 2026-10-19). CUPED covariate 2026-09-25 → 2026-10-08, before any v10 exposure. Active = ≥1 video session since first exposure in-window. ToT = ≥1 second of TVT on a targeted title (the 224,739 titles below) in-window.</w:t>
      </w:r>
    </w:p>
    <w:p>
      <w:pPr>
        <w:pStyle w:val="ListBullet"/>
      </w:pPr>
      <w:r>
        <w:rPr>
          <w:b/>
        </w:rPr>
        <w:t>Title set.</w:t>
      </w:r>
      <w:r>
        <w:t xml:space="preserve"> On-title, ToT, band, type and below-control tables use the 224,739 titles in `ml_dev.tmp.abf3_v10_targeted_titles` (191,035 episodes + 33,704 movies): the ABF2-catalog titles that were served v10 cue points. The ABF2 catalog itself is movie/episode streams in `core_prod.tubidw` with non-empty `cue_points_abf`, excluding `cue_points_info = 'abf3_pruned_v8'` and `core_dev.dsa.temp_bp_abf_v8_all_titles` (299,272 live titles); the other ~74.5k catalog titles were not served v10 cue points, carry identical cues in every arm, and are excluded. Versions of this report before 2026-10-20 used the whole catalog and so understated every on-title and band lift by roughly a quarter. Bands use the title’s ABF2 control cue-point count from the live stream tables. The CUPED covariate for on-title outcomes is the all-title pre-period, matching the v8 notebook.</w:t>
      </w:r>
    </w:p>
    <w:p>
      <w:pPr>
        <w:pStyle w:val="ListBullet"/>
      </w:pPr>
      <w:r>
        <w:rPr>
          <w:b/>
        </w:rPr>
        <w:t>Metrics.</w:t>
      </w:r>
      <w:r>
        <w:t xml:space="preserve"> From `core_prod.ads.impressions` joined to `core_prod.mercurydb_cdc.campaigns`, `unbillable='f'`. </w:t>
      </w:r>
      <w:r>
        <w:rPr>
          <w:b/>
        </w:rPr>
        <w:t>Total</w:t>
      </w:r>
      <w:r>
        <w:t xml:space="preserve"> = all billable impressions’ cost. </w:t>
      </w:r>
      <w:r>
        <w:rPr>
          <w:b/>
        </w:rPr>
        <w:t>Budgeted</w:t>
      </w:r>
      <w:r>
        <w:t xml:space="preserve"> = `budget IS NOT NULL`. </w:t>
      </w:r>
      <w:r>
        <w:rPr>
          <w:b/>
        </w:rPr>
        <w:t>Unbudgeted</w:t>
      </w:r>
      <w:r>
        <w:t xml:space="preserve"> = `budget IS NULL`, stream `PROGRAMMATIC_OPEN`/`PROGRAMMATIC_DIRECT`, advertiser exclusions 1, 55025, 55098, 2, 50237, 56209, 56360, 56414, 69, 55013, 56316, 55010, 13, 56346, 56359, 56405, 56411, 56450, 56452 (the v8 metric, narrowest pool). </w:t>
      </w:r>
      <w:r>
        <w:rPr>
          <w:b/>
        </w:rPr>
        <w:t>All-ad impressions</w:t>
      </w:r>
      <w:r>
        <w:t xml:space="preserve"> = count of all billable impressions (the Statsig `ad_impressions` tile). TVT = `video_session.tvt_millisec/60000` (minutes). Band and movie/episode cuts use the unbudgeted definition, matching the v8 band notebook.</w:t>
      </w:r>
    </w:p>
    <w:p>
      <w:pPr>
        <w:pStyle w:val="ListBullet"/>
      </w:pPr>
      <w:r>
        <w:rPr>
          <w:b/>
        </w:rPr>
        <w:t>Reconciliation with Statsig.</w:t>
      </w:r>
      <w:r>
        <w:t xml:space="preserve"> Done on the 2026-10-15 window: total, all-ad impressions, and unbudgeted agreed closely with the scorecard; budgeted read a little higher here (v5b +2.39% vs ~+1.77% on the tile) — expected from CUPED vs raw and a slightly different budgeted tagging; budgeted is also the most window-sensitive metric. Not re-run for the extended window (no scorecard pull in this refresh).</w:t>
      </w:r>
    </w:p>
    <w:p>
      <w:pPr>
        <w:pStyle w:val="ListBullet"/>
      </w:pPr>
      <w:r>
        <w:rPr>
          <w:b/>
        </w:rPr>
        <w:t>Estimator.</w:t>
      </w:r>
      <w:r>
        <w:t xml:space="preserve"> Device-level CUPED; theta = pooled covariance / pooled covariate variance across arms in each population; Welch normal 95% interval (z = 1.96) at these sample sizes. Band/type/below-control tables are raw Welch, no CUPED, matching `abf_v8_winA_bands.py`.</w:t>
      </w:r>
    </w:p>
    <w:p>
      <w:pPr>
        <w:pStyle w:val="ListBullet"/>
      </w:pPr>
      <w:r>
        <w:rPr>
          <w:b/>
        </w:rPr>
        <w:t>Served cue lists.</w:t>
      </w:r>
      <w:r>
        <w:t xml:space="preserve"> Per-arm served cue points, counts, durations from `ml_dev.tmp.abf3_new_pruner_cuepoints` (snapshot 2026-10-08; T1 = v4, T2 = v6, T3 = v5b; 418,671 titles, zero prune errors) — supplies §2b, §2c placement/gate replay, and §B.4. The table now also holds extra arms that are not part of v10; they are excluded everywhere.</w:t>
      </w:r>
    </w:p>
    <w:p>
      <w:pPr>
        <w:pStyle w:val="ListBullet"/>
      </w:pPr>
      <w:r>
        <w:rPr>
          <w:b/>
        </w:rPr>
        <w:t>Still omitted.</w:t>
      </w:r>
      <w:r>
        <w:t xml:space="preserve"> The v8 non-empty-pods-per-TVT-hour realization table and per-title worked examples. Everything else is populated with v10 numbers.</w:t>
      </w:r>
    </w:p>
    <w:p>
      <w:pPr>
        <w:pStyle w:val="ListBullet"/>
      </w:pPr>
      <w:r>
        <w:rPr>
          <w:b/>
        </w:rPr>
        <w:t>Verification (2026-10-20).</w:t>
      </w:r>
      <w:r>
        <w:t xml:space="preserve"> Refresh on the extended window with the corrected title set. All Databricks queries were re-run (headline CUPED, band/type/below-control, gate replay, viewing depth). CUPED and Welch are computed inside SQL; the SQL estimator was checked against the Python estimator on the OTT ITT total-revenue sums (match to 0.001pp). The title-set correction was checked by running the same estimator on an independent OTT analysis’s window and pre-period (10-10 → 10-18; 09-17 → 09-30): global unbudgeted revenue and TVT and the targeted-title on-title lifts matched it to rounding (e.g. on-title v5b +0.90%), while the 299k-catalog definition did not (+0.67%). The gate replay was ported from the notebook to SQL and validated by reproducing the 10-15 OTT cells, first-break timings and episode decomposition to rounding (OTT keeps all-platform in-window TVT weights); it already ran on served titles only, so the title-set correction does not change it. Not refreshed: the §B.5 pacing / pre-roll analysis (10-15 window).</w:t>
      </w:r>
    </w:p>
    <w:p>
      <w:pPr>
        <w:pStyle w:val="Heading1"/>
      </w:pPr>
      <w:r>
        <w:t>Global numbers</w:t>
      </w:r>
    </w:p>
    <w:p>
      <w:r>
        <w:t>Cross-platform view of the global ITT lifts versus ABF2 Control (unbudgeted revenue and TVT; CUPED, 95% intervals). Method follows the independent OTT report’s Appendix C: combined lift = 0.85 × OTT lift + 0.10 × mobile lift + 0.05 × web lift (shares of company revenue and TVT, supplied by the business and applied to both metrics); the interval treats the three platforms as independent (separate device populations). Window 2026-10-09 → 2026-10-19, pre-period 2026-09-25 → 2026-10-08. n is the sum of ITT devices per arm across the three platforms, shown for reference (the weights are not device shares). It assumes each experiment’s global ITT lift approximates the effect of a full rollout on that platform. Sig = interval excludes zero (nominal 95%, not adjusted for sequential looks or three arms).</w:t>
      </w:r>
    </w:p>
    <w:p>
      <w:r>
        <w:rPr>
          <w:b/>
        </w:rPr>
        <w:t>Combined global unbudgeted detail (all titles):</w:t>
      </w:r>
    </w:p>
    <w:tbl>
      <w:tblPr>
        <w:tblStyle w:val="LightGrid-Accent1"/>
        <w:tblW w:type="auto" w:w="0"/>
        <w:tblLook w:firstColumn="1" w:firstRow="1" w:lastColumn="0" w:lastRow="0" w:noHBand="0" w:noVBand="1" w:val="04A0"/>
      </w:tblPr>
      <w:tblGrid>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TVT</w:t>
            </w:r>
          </w:p>
        </w:tc>
      </w:tr>
      <w:tr>
        <w:tc>
          <w:tcPr>
            <w:tcW w:type="dxa" w:w="1440"/>
          </w:tcPr>
          <w:p>
            <w:r>
              <w:t>ITT</w:t>
            </w:r>
          </w:p>
        </w:tc>
        <w:tc>
          <w:tcPr>
            <w:tcW w:type="dxa" w:w="1440"/>
          </w:tcPr>
          <w:p>
            <w:r>
              <w:t>v4</w:t>
            </w:r>
          </w:p>
        </w:tc>
        <w:tc>
          <w:tcPr>
            <w:tcW w:type="dxa" w:w="1440"/>
          </w:tcPr>
          <w:p>
            <w:r>
              <w:t>20,768,958</w:t>
            </w:r>
          </w:p>
        </w:tc>
        <w:tc>
          <w:tcPr>
            <w:tcW w:type="dxa" w:w="1440"/>
          </w:tcPr>
          <w:p>
            <w:r>
              <w:t>−0.233% [−0.382, −0.085] sig</w:t>
            </w:r>
          </w:p>
        </w:tc>
        <w:tc>
          <w:tcPr>
            <w:tcW w:type="dxa" w:w="1440"/>
          </w:tcPr>
          <w:p>
            <w:r>
              <w:t>+0.095% [−0.038, +0.228] ns</w:t>
            </w:r>
          </w:p>
        </w:tc>
      </w:tr>
      <w:tr>
        <w:tc>
          <w:tcPr>
            <w:tcW w:type="dxa" w:w="1440"/>
          </w:tcPr>
          <w:p>
            <w:r>
              <w:t>ITT</w:t>
            </w:r>
          </w:p>
        </w:tc>
        <w:tc>
          <w:tcPr>
            <w:tcW w:type="dxa" w:w="1440"/>
          </w:tcPr>
          <w:p>
            <w:r>
              <w:t>v5b</w:t>
            </w:r>
          </w:p>
        </w:tc>
        <w:tc>
          <w:tcPr>
            <w:tcW w:type="dxa" w:w="1440"/>
          </w:tcPr>
          <w:p>
            <w:r>
              <w:t>20,768,000</w:t>
            </w:r>
          </w:p>
        </w:tc>
        <w:tc>
          <w:tcPr>
            <w:tcW w:type="dxa" w:w="1440"/>
          </w:tcPr>
          <w:p>
            <w:r>
              <w:t>+0.422% [+0.273, +0.572] sig</w:t>
            </w:r>
          </w:p>
        </w:tc>
        <w:tc>
          <w:tcPr>
            <w:tcW w:type="dxa" w:w="1440"/>
          </w:tcPr>
          <w:p>
            <w:r>
              <w:t>−0.167% [−0.300, −0.035] sig</w:t>
            </w:r>
          </w:p>
        </w:tc>
      </w:tr>
      <w:tr>
        <w:tc>
          <w:tcPr>
            <w:tcW w:type="dxa" w:w="1440"/>
          </w:tcPr>
          <w:p>
            <w:r>
              <w:t>ITT</w:t>
            </w:r>
          </w:p>
        </w:tc>
        <w:tc>
          <w:tcPr>
            <w:tcW w:type="dxa" w:w="1440"/>
          </w:tcPr>
          <w:p>
            <w:r>
              <w:t>v6</w:t>
            </w:r>
          </w:p>
        </w:tc>
        <w:tc>
          <w:tcPr>
            <w:tcW w:type="dxa" w:w="1440"/>
          </w:tcPr>
          <w:p>
            <w:r>
              <w:t>20,774,224</w:t>
            </w:r>
          </w:p>
        </w:tc>
        <w:tc>
          <w:tcPr>
            <w:tcW w:type="dxa" w:w="1440"/>
          </w:tcPr>
          <w:p>
            <w:r>
              <w:t>+0.223% [+0.074, +0.372] sig</w:t>
            </w:r>
          </w:p>
        </w:tc>
        <w:tc>
          <w:tcPr>
            <w:tcW w:type="dxa" w:w="1440"/>
          </w:tcPr>
          <w:p>
            <w:r>
              <w:t>−0.039% [−0.171, +0.094] ns</w:t>
            </w:r>
          </w:p>
        </w:tc>
      </w:tr>
    </w:tbl>
    <w:p>
      <w:r>
        <w:rPr>
          <w:b/>
        </w:rPr>
        <w:t>Combined on-title (the 224,739 targeted titles):</w:t>
      </w:r>
    </w:p>
    <w:tbl>
      <w:tblPr>
        <w:tblStyle w:val="LightGrid-Accent1"/>
        <w:tblW w:type="auto" w:w="0"/>
        <w:tblLook w:firstColumn="1" w:firstRow="1" w:lastColumn="0" w:lastRow="0" w:noHBand="0" w:noVBand="1" w:val="04A0"/>
      </w:tblPr>
      <w:tblGrid>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TVT</w:t>
            </w:r>
          </w:p>
        </w:tc>
      </w:tr>
      <w:tr>
        <w:tc>
          <w:tcPr>
            <w:tcW w:type="dxa" w:w="1440"/>
          </w:tcPr>
          <w:p>
            <w:r>
              <w:t>ITT</w:t>
            </w:r>
          </w:p>
        </w:tc>
        <w:tc>
          <w:tcPr>
            <w:tcW w:type="dxa" w:w="1440"/>
          </w:tcPr>
          <w:p>
            <w:r>
              <w:t>v4</w:t>
            </w:r>
          </w:p>
        </w:tc>
        <w:tc>
          <w:tcPr>
            <w:tcW w:type="dxa" w:w="1440"/>
          </w:tcPr>
          <w:p>
            <w:r>
              <w:t>20,768,958</w:t>
            </w:r>
          </w:p>
        </w:tc>
        <w:tc>
          <w:tcPr>
            <w:tcW w:type="dxa" w:w="1440"/>
          </w:tcPr>
          <w:p>
            <w:r>
              <w:t>−0.673% [−0.879, −0.466] sig</w:t>
            </w:r>
          </w:p>
        </w:tc>
        <w:tc>
          <w:tcPr>
            <w:tcW w:type="dxa" w:w="1440"/>
          </w:tcPr>
          <w:p>
            <w:r>
              <w:t>+0.097% [−0.094, +0.287] ns</w:t>
            </w:r>
          </w:p>
        </w:tc>
      </w:tr>
      <w:tr>
        <w:tc>
          <w:tcPr>
            <w:tcW w:type="dxa" w:w="1440"/>
          </w:tcPr>
          <w:p>
            <w:r>
              <w:t>ITT</w:t>
            </w:r>
          </w:p>
        </w:tc>
        <w:tc>
          <w:tcPr>
            <w:tcW w:type="dxa" w:w="1440"/>
          </w:tcPr>
          <w:p>
            <w:r>
              <w:t>v5b</w:t>
            </w:r>
          </w:p>
        </w:tc>
        <w:tc>
          <w:tcPr>
            <w:tcW w:type="dxa" w:w="1440"/>
          </w:tcPr>
          <w:p>
            <w:r>
              <w:t>20,768,000</w:t>
            </w:r>
          </w:p>
        </w:tc>
        <w:tc>
          <w:tcPr>
            <w:tcW w:type="dxa" w:w="1440"/>
          </w:tcPr>
          <w:p>
            <w:r>
              <w:t>+1.294% [+1.082, +1.505] sig</w:t>
            </w:r>
          </w:p>
        </w:tc>
        <w:tc>
          <w:tcPr>
            <w:tcW w:type="dxa" w:w="1440"/>
          </w:tcPr>
          <w:p>
            <w:r>
              <w:t>−0.237% [−0.427, −0.046] sig</w:t>
            </w:r>
          </w:p>
        </w:tc>
      </w:tr>
      <w:tr>
        <w:tc>
          <w:tcPr>
            <w:tcW w:type="dxa" w:w="1440"/>
          </w:tcPr>
          <w:p>
            <w:r>
              <w:t>ITT</w:t>
            </w:r>
          </w:p>
        </w:tc>
        <w:tc>
          <w:tcPr>
            <w:tcW w:type="dxa" w:w="1440"/>
          </w:tcPr>
          <w:p>
            <w:r>
              <w:t>v6</w:t>
            </w:r>
          </w:p>
        </w:tc>
        <w:tc>
          <w:tcPr>
            <w:tcW w:type="dxa" w:w="1440"/>
          </w:tcPr>
          <w:p>
            <w:r>
              <w:t>20,774,224</w:t>
            </w:r>
          </w:p>
        </w:tc>
        <w:tc>
          <w:tcPr>
            <w:tcW w:type="dxa" w:w="1440"/>
          </w:tcPr>
          <w:p>
            <w:r>
              <w:t>+0.655% [+0.445, +0.866] sig</w:t>
            </w:r>
          </w:p>
        </w:tc>
        <w:tc>
          <w:tcPr>
            <w:tcW w:type="dxa" w:w="1440"/>
          </w:tcPr>
          <w:p>
            <w:r>
              <w:t>−0.020% [−0.211, +0.171] ns</w:t>
            </w:r>
          </w:p>
        </w:tc>
      </w:tr>
    </w:tbl>
    <w:p>
      <w:r>
        <w:t>Note on the on-title table: the 85/10/5 weights are company-level revenue and TVT shares, so applying them to on-title lifts is an approximation — each on-title lift is measured against that platform’s targeted-title baseline, and targeted titles may be a different share of each platform’s revenue. Per-platform lifts are in the OTT tables above and in the Mobile and Web reports (same window and title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