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(Web)</w:t>
      </w:r>
    </w:p>
    <w:p>
      <w:pPr/>
      <w:r>
        <w:rPr>
          <w:b/>
        </w:rPr>
        <w:t>Experiment:</w:t>
      </w:r>
      <w:r>
        <w:t xml:space="preserve"> `ads_web_abf_3_v10_abf2_titles_only` (Web) · device-randomized, four arms at 25% each · restarted 2026-10-09 23:30 UTC (same restart as OTT).</w:t>
      </w:r>
    </w:p>
    <w:p>
      <w:pPr/>
      <w:r>
        <w:rPr>
          <w:b/>
        </w:rPr>
        <w:t>Arms:</w:t>
      </w:r>
      <w:r>
        <w:t xml:space="preserve"> Control = ABF2 human cue points. v4 = T1 equal-load pruner (`abf3_pruner_t1_equal_load_v4.py`). v6 = T2, equal load plus about +7% ad load on movies of 60–120 minutes (`abf3_pruner_t2_targeted_load_v6.py`). v5b = T3, ABF2-like cue counts placed where the OTT ad config accepts requests (`abf3_pruner_t3_abf2_density_v5b.py`). The served cue lists are catalog-level, so every platform serves the same lists as OTT.</w:t>
      </w:r>
    </w:p>
    <w:p>
      <w:pPr/>
      <w:r>
        <w:rPr>
          <w:b/>
        </w:rPr>
        <w:t>Window:</w:t>
      </w:r>
      <w:r>
        <w:t xml:space="preserve"> 2026-10-09 → 2026-10-19 (complete days). Outcomes are capped at 2026-10-20 00:00 UTC; the exposures table is loaded through the end of 2026-10-19 (2026-10-20 is a partial day and is excluded). Same window as the refreshed OTT report. This is an early read of a live test, not a graduation read, and it has not been re-reconciled with a Statsig scorecard.</w:t>
      </w:r>
    </w:p>
    <w:p>
      <w:pPr/>
      <w:r>
        <w:rPr>
          <w:b/>
        </w:rPr>
        <w:t>Method:</w:t>
      </w:r>
      <w:r>
        <w:t xml:space="preserve"> device-level CUPED, pre-period 2026-09-25 → 2026-10-08, Welch 95% intervals. ~6.99M devices/arm (ITT). Revenue is reported three ways — total (all billable ads), budgeted (direct, guaranteed, PMP), and unbudgeted (open auction, the v8 metric) — plus ad impressions and TVT. Same queries and definitions as the OTT report (Appendix C), run on the web experiment's exposures. Report date 2026-10-20.</w:t>
      </w:r>
    </w:p>
    <w:p>
      <w:pPr/>
      <w:r>
        <w:rPr>
          <w:b/>
        </w:rPr>
        <w:t>Refresh (2026-10-20):</w:t>
      </w:r>
      <w:r>
        <w:t xml:space="preserve"> Window extended from the end of 2026-10-18 to the end of 2026-10-19 (every complete day loaded in the exposures table); ITT devices/arm 6.28M → 6.99M. **Title set corrected:** the on-title, ToT, band, type and below-control tables now use the 224,739 targeted titles (`ml_dev.tmp.abf3_v10_targeted_titles`, the titles served v10 cue points) instead of the 299k live ABF2 catalog, which included about 74.5k titles that carry identical cues in every arm and so diluted every on-title and band lift. On-title ITT unbudgeted revenue, previous version → now (title set and window both changed): v4 −1.245% → −2.012%; v5b +3.653% → +4.123%; v6 +0.090% → +0.601%. Global ITT total revenue, previous version → now: v4 −1.529% → −1.635%; v5b +1.921% → +1.853%; v6 −0.280% → −0.329%. TVT: v4 −0.071% → −0.143%; v5b +0.179% → +0.248%; v6 +0.012% → +0.049%. No global ITT significance call changed. All tables, the band/type/below-control cuts, the gate replay and the viewing-depth numbers below were re-run.</w:t>
      </w:r>
    </w:p>
    <w:p>
      <w:pPr>
        <w:pStyle w:val="Heading1"/>
      </w:pPr>
      <w:r>
        <w:t>TL;DR</w:t>
      </w:r>
    </w:p>
    <w:p>
      <w:pPr>
        <w:pStyle w:val="ListBullet"/>
      </w:pPr>
      <w:r>
        <w:rPr>
          <w:b/>
        </w:rPr>
        <w:t>v5b is the clear winner on web.</w:t>
      </w:r>
      <w:r>
        <w:t xml:space="preserve"> Total revenue +1.853% sig, budgeted +1.845% sig, unbudgeted +2.298% sig, impressions +1.991% sig. On the targeted titles open-auction revenue is +4.123% sig. TVT flat (+0.248% ns).</w:t>
      </w:r>
    </w:p>
    <w:p>
      <w:pPr>
        <w:pStyle w:val="ListBullet"/>
      </w:pPr>
      <w:r>
        <w:rPr>
          <w:b/>
        </w:rPr>
        <w:t>v4 loses; v6 is flat.</w:t>
      </w:r>
      <w:r>
        <w:t xml:space="preserve"> Total revenue v4 −1.635% sig (budgeted −1.598% sig), v6 −0.329% ns. Neither moves TVT.</w:t>
      </w:r>
    </w:p>
    <w:p>
      <w:pPr>
        <w:pStyle w:val="ListBullet"/>
      </w:pPr>
      <w:r>
        <w:rPr>
          <w:b/>
        </w:rPr>
        <w:t>Episodes split the arms, as on mobile.</w:t>
      </w:r>
      <w:r>
        <w:t xml:space="preserve"> Episode open-auction revenue: v5b +4.72% sig, v6 −4.04% sig, v4 −4.00% sig. Movies: v6 +5.92% sig, v5b +2.40% sig, v4 +2.13% ns.</w:t>
      </w:r>
    </w:p>
    <w:p>
      <w:pPr>
        <w:pStyle w:val="ListBullet"/>
      </w:pPr>
      <w:r>
        <w:rPr>
          <w:b/>
        </w:rPr>
        <w:t>Web is a small, noisy surface.</w:t>
      </w:r>
      <w:r>
        <w:t xml:space="preserve"> Only ~9% of exposed web devices watched anything in-window (Active n ≈ 652K/arm), and total revenue is ~$0.02 per exposed device in the window. Intervals are wide; at the headline level only v5b's gain and v4's loss clear zero.</w:t>
      </w:r>
    </w:p>
    <w:p>
      <w:pPr>
        <w:pStyle w:val="ListBullet"/>
      </w:pPr>
      <w:r>
        <w:rPr>
          <w:b/>
        </w:rPr>
        <w:t>TVT is flat everywhere.</w:t>
      </w:r>
      <w:r>
        <w:t xml:space="preserve"> No TVT move is significant in any population, band, type, or below-control cut.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t>v4 (equal load)</w:t>
            </w:r>
          </w:p>
        </w:tc>
        <w:tc>
          <w:tcPr>
            <w:tcW w:type="dxa" w:w="1440"/>
          </w:tcPr>
          <w:p>
            <w:r>
              <w:t>−1.635% [−2.635, −0.636] sig</w:t>
            </w:r>
          </w:p>
        </w:tc>
        <w:tc>
          <w:tcPr>
            <w:tcW w:type="dxa" w:w="1440"/>
          </w:tcPr>
          <w:p>
            <w:r>
              <w:t>−1.598% sig</w:t>
            </w:r>
          </w:p>
        </w:tc>
        <w:tc>
          <w:tcPr>
            <w:tcW w:type="dxa" w:w="1440"/>
          </w:tcPr>
          <w:p>
            <w:r>
              <w:t>−1.042% ns</w:t>
            </w:r>
          </w:p>
        </w:tc>
        <w:tc>
          <w:tcPr>
            <w:tcW w:type="dxa" w:w="1440"/>
          </w:tcPr>
          <w:p>
            <w:r>
              <w:t>−1.723% sig</w:t>
            </w:r>
          </w:p>
        </w:tc>
        <w:tc>
          <w:tcPr>
            <w:tcW w:type="dxa" w:w="1440"/>
          </w:tcPr>
          <w:p>
            <w:r>
              <w:t>−0.143% ns</w:t>
            </w:r>
          </w:p>
        </w:tc>
      </w:tr>
      <w:tr>
        <w:tc>
          <w:tcPr>
            <w:tcW w:type="dxa" w:w="1440"/>
          </w:tcPr>
          <w:p>
            <w:r>
              <w:t>v5b (ABF2 density, gate-aware placement)</w:t>
            </w:r>
          </w:p>
        </w:tc>
        <w:tc>
          <w:tcPr>
            <w:tcW w:type="dxa" w:w="1440"/>
          </w:tcPr>
          <w:p>
            <w:r>
              <w:t>+1.853% [+0.829, +2.876] sig</w:t>
            </w:r>
          </w:p>
        </w:tc>
        <w:tc>
          <w:tcPr>
            <w:tcW w:type="dxa" w:w="1440"/>
          </w:tcPr>
          <w:p>
            <w:r>
              <w:t>+1.845% sig</w:t>
            </w:r>
          </w:p>
        </w:tc>
        <w:tc>
          <w:tcPr>
            <w:tcW w:type="dxa" w:w="1440"/>
          </w:tcPr>
          <w:p>
            <w:r>
              <w:t>+2.298% sig</w:t>
            </w:r>
          </w:p>
        </w:tc>
        <w:tc>
          <w:tcPr>
            <w:tcW w:type="dxa" w:w="1440"/>
          </w:tcPr>
          <w:p>
            <w:r>
              <w:t>+1.991% sig</w:t>
            </w:r>
          </w:p>
        </w:tc>
        <w:tc>
          <w:tcPr>
            <w:tcW w:type="dxa" w:w="1440"/>
          </w:tcPr>
          <w:p>
            <w:r>
              <w:t>+0.248% ns</w:t>
            </w:r>
          </w:p>
        </w:tc>
      </w:tr>
      <w:tr>
        <w:tc>
          <w:tcPr>
            <w:tcW w:type="dxa" w:w="1440"/>
          </w:tcPr>
          <w:p>
            <w:r>
              <w:t>v6 (movies 60–120 min, +7% load)</w:t>
            </w:r>
          </w:p>
        </w:tc>
        <w:tc>
          <w:tcPr>
            <w:tcW w:type="dxa" w:w="1440"/>
          </w:tcPr>
          <w:p>
            <w:r>
              <w:t>−0.329% [−1.340, +0.682] ns</w:t>
            </w:r>
          </w:p>
        </w:tc>
        <w:tc>
          <w:tcPr>
            <w:tcW w:type="dxa" w:w="1440"/>
          </w:tcPr>
          <w:p>
            <w:r>
              <w:t>−0.178% ns</w:t>
            </w:r>
          </w:p>
        </w:tc>
        <w:tc>
          <w:tcPr>
            <w:tcW w:type="dxa" w:w="1440"/>
          </w:tcPr>
          <w:p>
            <w:r>
              <w:t>+0.448% ns</w:t>
            </w:r>
          </w:p>
        </w:tc>
        <w:tc>
          <w:tcPr>
            <w:tcW w:type="dxa" w:w="1440"/>
          </w:tcPr>
          <w:p>
            <w:r>
              <w:t>−0.288% ns</w:t>
            </w:r>
          </w:p>
        </w:tc>
        <w:tc>
          <w:tcPr>
            <w:tcW w:type="dxa" w:w="1440"/>
          </w:tcPr>
          <w:p>
            <w:r>
              <w:t>+0.049% ns</w:t>
            </w:r>
          </w:p>
        </w:tc>
      </w:tr>
    </w:tbl>
    <w:p/>
    <w:p>
      <w:pPr/>
      <w:r>
        <w:t>All figures are global ITT CUPED lifts versus Control. Direction is stable across ITT, Active, and ToT (v4's total-revenue loss is also significant in Active and ToT). Significance calls are nominal 95% (not adjusted for sequential looks or three arms) and the interval widening seen on the Statsig scorecard (~1.8× on the 10-15 OTT read) would apply here too; not re-checked against Statsig for this window.</w:t>
      </w:r>
    </w:p>
    <w:p>
      <w:pPr>
        <w:pStyle w:val="Heading1"/>
      </w:pPr>
      <w:r>
        <w:t>1. Headline (2026-10-09 → 2026-10-19)</w:t>
      </w:r>
    </w:p>
    <w:p>
      <w:pPr/>
      <w:r>
        <w:t>All figures are CUPED lifts versus Control, 95% intervals. Global is across every title an exposed device watched. On-title is the same devices, restricted to the 224,739 targeted titles — the ABF2-catalog titles served v10 cue points. ToT is defined on the same set. “Sig” means the interval excludes zero (nominal p &lt; 0.05).</w:t>
      </w:r>
    </w:p>
    <w:p>
      <w:pPr/>
      <w:r>
        <w:t>Revenue, three ways (global ITT — the headline money table).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−1.635% [−2.635, −0.636] sig</w:t>
            </w:r>
          </w:p>
        </w:tc>
        <w:tc>
          <w:tcPr>
            <w:tcW w:type="dxa" w:w="1728"/>
          </w:tcPr>
          <w:p>
            <w:r>
              <w:t>−1.598% [−2.399, −0.798] sig</w:t>
            </w:r>
          </w:p>
        </w:tc>
        <w:tc>
          <w:tcPr>
            <w:tcW w:type="dxa" w:w="1728"/>
          </w:tcPr>
          <w:p>
            <w:r>
              <w:t>−1.042% [−2.405, +0.321] ns</w:t>
            </w:r>
          </w:p>
        </w:tc>
        <w:tc>
          <w:tcPr>
            <w:tcW w:type="dxa" w:w="1728"/>
          </w:tcPr>
          <w:p>
            <w:r>
              <w:t>−1.723% [−2.663, −0.783] sig</w:t>
            </w:r>
          </w:p>
        </w:tc>
      </w:tr>
      <w:tr>
        <w:tc>
          <w:tcPr>
            <w:tcW w:type="dxa" w:w="1728"/>
          </w:tcPr>
          <w:p>
            <w:r>
              <w:t>v5b</w:t>
            </w:r>
          </w:p>
        </w:tc>
        <w:tc>
          <w:tcPr>
            <w:tcW w:type="dxa" w:w="1728"/>
          </w:tcPr>
          <w:p>
            <w:r>
              <w:t>+1.853% [+0.829, +2.876] sig</w:t>
            </w:r>
          </w:p>
        </w:tc>
        <w:tc>
          <w:tcPr>
            <w:tcW w:type="dxa" w:w="1728"/>
          </w:tcPr>
          <w:p>
            <w:r>
              <w:t>+1.845% [+1.032, +2.658] sig</w:t>
            </w:r>
          </w:p>
        </w:tc>
        <w:tc>
          <w:tcPr>
            <w:tcW w:type="dxa" w:w="1728"/>
          </w:tcPr>
          <w:p>
            <w:r>
              <w:t>+2.298% [+0.887, +3.710] sig</w:t>
            </w:r>
          </w:p>
        </w:tc>
        <w:tc>
          <w:tcPr>
            <w:tcW w:type="dxa" w:w="1728"/>
          </w:tcPr>
          <w:p>
            <w:r>
              <w:t>+1.991% [+1.026, +2.957] sig</w:t>
            </w:r>
          </w:p>
        </w:tc>
      </w:tr>
      <w:tr>
        <w:tc>
          <w:tcPr>
            <w:tcW w:type="dxa" w:w="1728"/>
          </w:tcPr>
          <w:p>
            <w:r>
              <w:t>v6</w:t>
            </w:r>
          </w:p>
        </w:tc>
        <w:tc>
          <w:tcPr>
            <w:tcW w:type="dxa" w:w="1728"/>
          </w:tcPr>
          <w:p>
            <w:r>
              <w:t>−0.329% [−1.340, +0.682] ns</w:t>
            </w:r>
          </w:p>
        </w:tc>
        <w:tc>
          <w:tcPr>
            <w:tcW w:type="dxa" w:w="1728"/>
          </w:tcPr>
          <w:p>
            <w:r>
              <w:t>−0.178% [−0.977, +0.622] ns</w:t>
            </w:r>
          </w:p>
        </w:tc>
        <w:tc>
          <w:tcPr>
            <w:tcW w:type="dxa" w:w="1728"/>
          </w:tcPr>
          <w:p>
            <w:r>
              <w:t>+0.448% [−0.962, +1.857] ns</w:t>
            </w:r>
          </w:p>
        </w:tc>
        <w:tc>
          <w:tcPr>
            <w:tcW w:type="dxa" w:w="1728"/>
          </w:tcPr>
          <w:p>
            <w:r>
              <w:t>−0.288% [−1.239, +0.662] ns</w:t>
            </w:r>
          </w:p>
        </w:tc>
      </w:tr>
    </w:tbl>
    <w:p/>
    <w:p>
      <w:pPr/>
      <w:r>
        <w:t>Control per-device means: total revenue 0.020, budgeted 0.010, all-ad impressions 2.2; ITT n/arm ≈ 6.99M. v5b gains in every pool, with the largest lift in the open auction (+2.298% sig) — the opposite of OTT, where v5b's gain comes mostly through budgeted demand. v4's loss is in the budgeted pool (−1.598% sig); its open-auction revenue is −1.042% ns.</w:t>
      </w:r>
    </w:p>
    <w:p>
      <w:pPr/>
      <w: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6,991,203</w:t>
            </w:r>
          </w:p>
        </w:tc>
        <w:tc>
          <w:tcPr>
            <w:tcW w:type="dxa" w:w="1440"/>
          </w:tcPr>
          <w:p>
            <w:r>
              <w:t>−1.042% [−2.405, +0.321] ns</w:t>
            </w:r>
          </w:p>
        </w:tc>
        <w:tc>
          <w:tcPr>
            <w:tcW w:type="dxa" w:w="1440"/>
          </w:tcPr>
          <w:p>
            <w:r>
              <w:t>−1.071% [−2.276, +0.134] ns</w:t>
            </w:r>
          </w:p>
        </w:tc>
        <w:tc>
          <w:tcPr>
            <w:tcW w:type="dxa" w:w="1440"/>
          </w:tcPr>
          <w:p>
            <w:r>
              <w:t>−0.143% [−0.989, +0.703] ns</w:t>
            </w:r>
          </w:p>
        </w:tc>
      </w:tr>
      <w:tr>
        <w:tc>
          <w:tcPr>
            <w:tcW w:type="dxa" w:w="1440"/>
          </w:tcPr>
          <w:p>
            <w:r>
              <w:t>ITT</w:t>
            </w:r>
          </w:p>
        </w:tc>
        <w:tc>
          <w:tcPr>
            <w:tcW w:type="dxa" w:w="1440"/>
          </w:tcPr>
          <w:p>
            <w:r>
              <w:t>v5b</w:t>
            </w:r>
          </w:p>
        </w:tc>
        <w:tc>
          <w:tcPr>
            <w:tcW w:type="dxa" w:w="1440"/>
          </w:tcPr>
          <w:p>
            <w:r>
              <w:t>6,988,669</w:t>
            </w:r>
          </w:p>
        </w:tc>
        <w:tc>
          <w:tcPr>
            <w:tcW w:type="dxa" w:w="1440"/>
          </w:tcPr>
          <w:p>
            <w:r>
              <w:t>+2.298% [+0.887, +3.710] sig</w:t>
            </w:r>
          </w:p>
        </w:tc>
        <w:tc>
          <w:tcPr>
            <w:tcW w:type="dxa" w:w="1440"/>
          </w:tcPr>
          <w:p>
            <w:r>
              <w:t>+2.596% [+1.320, +3.873] sig</w:t>
            </w:r>
          </w:p>
        </w:tc>
        <w:tc>
          <w:tcPr>
            <w:tcW w:type="dxa" w:w="1440"/>
          </w:tcPr>
          <w:p>
            <w:r>
              <w:t>+0.248% [−0.598, +1.093] ns</w:t>
            </w:r>
          </w:p>
        </w:tc>
      </w:tr>
      <w:tr>
        <w:tc>
          <w:tcPr>
            <w:tcW w:type="dxa" w:w="1440"/>
          </w:tcPr>
          <w:p>
            <w:r>
              <w:t>ITT</w:t>
            </w:r>
          </w:p>
        </w:tc>
        <w:tc>
          <w:tcPr>
            <w:tcW w:type="dxa" w:w="1440"/>
          </w:tcPr>
          <w:p>
            <w:r>
              <w:t>v6</w:t>
            </w:r>
          </w:p>
        </w:tc>
        <w:tc>
          <w:tcPr>
            <w:tcW w:type="dxa" w:w="1440"/>
          </w:tcPr>
          <w:p>
            <w:r>
              <w:t>6,988,261</w:t>
            </w:r>
          </w:p>
        </w:tc>
        <w:tc>
          <w:tcPr>
            <w:tcW w:type="dxa" w:w="1440"/>
          </w:tcPr>
          <w:p>
            <w:r>
              <w:t>+0.448% [−0.962, +1.857] ns</w:t>
            </w:r>
          </w:p>
        </w:tc>
        <w:tc>
          <w:tcPr>
            <w:tcW w:type="dxa" w:w="1440"/>
          </w:tcPr>
          <w:p>
            <w:r>
              <w:t>+0.348% [−0.903, +1.599] ns</w:t>
            </w:r>
          </w:p>
        </w:tc>
        <w:tc>
          <w:tcPr>
            <w:tcW w:type="dxa" w:w="1440"/>
          </w:tcPr>
          <w:p>
            <w:r>
              <w:t>+0.049% [−0.795, +0.894] ns</w:t>
            </w:r>
          </w:p>
        </w:tc>
      </w:tr>
      <w:tr>
        <w:tc>
          <w:tcPr>
            <w:tcW w:type="dxa" w:w="1440"/>
          </w:tcPr>
          <w:p>
            <w:r>
              <w:t>Active</w:t>
            </w:r>
          </w:p>
        </w:tc>
        <w:tc>
          <w:tcPr>
            <w:tcW w:type="dxa" w:w="1440"/>
          </w:tcPr>
          <w:p>
            <w:r>
              <w:t>v4</w:t>
            </w:r>
          </w:p>
        </w:tc>
        <w:tc>
          <w:tcPr>
            <w:tcW w:type="dxa" w:w="1440"/>
          </w:tcPr>
          <w:p>
            <w:r>
              <w:t>652,380</w:t>
            </w:r>
          </w:p>
        </w:tc>
        <w:tc>
          <w:tcPr>
            <w:tcW w:type="dxa" w:w="1440"/>
          </w:tcPr>
          <w:p>
            <w:r>
              <w:t>−1.256% [−2.569, +0.058] ns</w:t>
            </w:r>
          </w:p>
        </w:tc>
        <w:tc>
          <w:tcPr>
            <w:tcW w:type="dxa" w:w="1440"/>
          </w:tcPr>
          <w:p>
            <w:r>
              <w:t>−1.319% [−2.472, −0.167] sig</w:t>
            </w:r>
          </w:p>
        </w:tc>
        <w:tc>
          <w:tcPr>
            <w:tcW w:type="dxa" w:w="1440"/>
          </w:tcPr>
          <w:p>
            <w:r>
              <w:t>−0.230% [−1.055, +0.595] ns</w:t>
            </w:r>
          </w:p>
        </w:tc>
      </w:tr>
      <w:tr>
        <w:tc>
          <w:tcPr>
            <w:tcW w:type="dxa" w:w="1440"/>
          </w:tcPr>
          <w:p>
            <w:r>
              <w:t>Active</w:t>
            </w:r>
          </w:p>
        </w:tc>
        <w:tc>
          <w:tcPr>
            <w:tcW w:type="dxa" w:w="1440"/>
          </w:tcPr>
          <w:p>
            <w:r>
              <w:t>v5b</w:t>
            </w:r>
          </w:p>
        </w:tc>
        <w:tc>
          <w:tcPr>
            <w:tcW w:type="dxa" w:w="1440"/>
          </w:tcPr>
          <w:p>
            <w:r>
              <w:t>651,778</w:t>
            </w:r>
          </w:p>
        </w:tc>
        <w:tc>
          <w:tcPr>
            <w:tcW w:type="dxa" w:w="1440"/>
          </w:tcPr>
          <w:p>
            <w:r>
              <w:t>+1.483% [+0.166, +2.799] sig</w:t>
            </w:r>
          </w:p>
        </w:tc>
        <w:tc>
          <w:tcPr>
            <w:tcW w:type="dxa" w:w="1440"/>
          </w:tcPr>
          <w:p>
            <w:r>
              <w:t>+1.663% [+0.488, +2.839] sig</w:t>
            </w:r>
          </w:p>
        </w:tc>
        <w:tc>
          <w:tcPr>
            <w:tcW w:type="dxa" w:w="1440"/>
          </w:tcPr>
          <w:p>
            <w:r>
              <w:t>+0.059% [−0.766, +0.883] ns</w:t>
            </w:r>
          </w:p>
        </w:tc>
      </w:tr>
      <w:tr>
        <w:tc>
          <w:tcPr>
            <w:tcW w:type="dxa" w:w="1440"/>
          </w:tcPr>
          <w:p>
            <w:r>
              <w:t>Active</w:t>
            </w:r>
          </w:p>
        </w:tc>
        <w:tc>
          <w:tcPr>
            <w:tcW w:type="dxa" w:w="1440"/>
          </w:tcPr>
          <w:p>
            <w:r>
              <w:t>v6</w:t>
            </w:r>
          </w:p>
        </w:tc>
        <w:tc>
          <w:tcPr>
            <w:tcW w:type="dxa" w:w="1440"/>
          </w:tcPr>
          <w:p>
            <w:r>
              <w:t>650,334</w:t>
            </w:r>
          </w:p>
        </w:tc>
        <w:tc>
          <w:tcPr>
            <w:tcW w:type="dxa" w:w="1440"/>
          </w:tcPr>
          <w:p>
            <w:r>
              <w:t>+0.262% [−1.055, +1.580] ns</w:t>
            </w:r>
          </w:p>
        </w:tc>
        <w:tc>
          <w:tcPr>
            <w:tcW w:type="dxa" w:w="1440"/>
          </w:tcPr>
          <w:p>
            <w:r>
              <w:t>+0.295% [−0.890, +1.479] ns</w:t>
            </w:r>
          </w:p>
        </w:tc>
        <w:tc>
          <w:tcPr>
            <w:tcW w:type="dxa" w:w="1440"/>
          </w:tcPr>
          <w:p>
            <w:r>
              <w:t>−0.051% [−0.876, +0.774] ns</w:t>
            </w:r>
          </w:p>
        </w:tc>
      </w:tr>
      <w:tr>
        <w:tc>
          <w:tcPr>
            <w:tcW w:type="dxa" w:w="1440"/>
          </w:tcPr>
          <w:p>
            <w:r>
              <w:t>ToT</w:t>
            </w:r>
          </w:p>
        </w:tc>
        <w:tc>
          <w:tcPr>
            <w:tcW w:type="dxa" w:w="1440"/>
          </w:tcPr>
          <w:p>
            <w:r>
              <w:t>v4</w:t>
            </w:r>
          </w:p>
        </w:tc>
        <w:tc>
          <w:tcPr>
            <w:tcW w:type="dxa" w:w="1440"/>
          </w:tcPr>
          <w:p>
            <w:r>
              <w:t>295,546</w:t>
            </w:r>
          </w:p>
        </w:tc>
        <w:tc>
          <w:tcPr>
            <w:tcW w:type="dxa" w:w="1440"/>
          </w:tcPr>
          <w:p>
            <w:r>
              <w:t>−1.026% [−2.429, +0.377] ns</w:t>
            </w:r>
          </w:p>
        </w:tc>
        <w:tc>
          <w:tcPr>
            <w:tcW w:type="dxa" w:w="1440"/>
          </w:tcPr>
          <w:p>
            <w:r>
              <w:t>−1.213% [−2.440, +0.015] ns</w:t>
            </w:r>
          </w:p>
        </w:tc>
        <w:tc>
          <w:tcPr>
            <w:tcW w:type="dxa" w:w="1440"/>
          </w:tcPr>
          <w:p>
            <w:r>
              <w:t>−0.123% [−0.987, +0.740] ns</w:t>
            </w:r>
          </w:p>
        </w:tc>
      </w:tr>
      <w:tr>
        <w:tc>
          <w:tcPr>
            <w:tcW w:type="dxa" w:w="1440"/>
          </w:tcPr>
          <w:p>
            <w:r>
              <w:t>ToT</w:t>
            </w:r>
          </w:p>
        </w:tc>
        <w:tc>
          <w:tcPr>
            <w:tcW w:type="dxa" w:w="1440"/>
          </w:tcPr>
          <w:p>
            <w:r>
              <w:t>v5b</w:t>
            </w:r>
          </w:p>
        </w:tc>
        <w:tc>
          <w:tcPr>
            <w:tcW w:type="dxa" w:w="1440"/>
          </w:tcPr>
          <w:p>
            <w:r>
              <w:t>295,530</w:t>
            </w:r>
          </w:p>
        </w:tc>
        <w:tc>
          <w:tcPr>
            <w:tcW w:type="dxa" w:w="1440"/>
          </w:tcPr>
          <w:p>
            <w:r>
              <w:t>+1.644% [+0.252, +3.036] sig</w:t>
            </w:r>
          </w:p>
        </w:tc>
        <w:tc>
          <w:tcPr>
            <w:tcW w:type="dxa" w:w="1440"/>
          </w:tcPr>
          <w:p>
            <w:r>
              <w:t>+1.761% [+0.521, +3.001] sig</w:t>
            </w:r>
          </w:p>
        </w:tc>
        <w:tc>
          <w:tcPr>
            <w:tcW w:type="dxa" w:w="1440"/>
          </w:tcPr>
          <w:p>
            <w:r>
              <w:t>−0.055% [−0.917, +0.807] ns</w:t>
            </w:r>
          </w:p>
        </w:tc>
      </w:tr>
      <w:tr>
        <w:tc>
          <w:tcPr>
            <w:tcW w:type="dxa" w:w="1440"/>
          </w:tcPr>
          <w:p>
            <w:r>
              <w:t>ToT</w:t>
            </w:r>
          </w:p>
        </w:tc>
        <w:tc>
          <w:tcPr>
            <w:tcW w:type="dxa" w:w="1440"/>
          </w:tcPr>
          <w:p>
            <w:r>
              <w:t>v6</w:t>
            </w:r>
          </w:p>
        </w:tc>
        <w:tc>
          <w:tcPr>
            <w:tcW w:type="dxa" w:w="1440"/>
          </w:tcPr>
          <w:p>
            <w:r>
              <w:t>294,165</w:t>
            </w:r>
          </w:p>
        </w:tc>
        <w:tc>
          <w:tcPr>
            <w:tcW w:type="dxa" w:w="1440"/>
          </w:tcPr>
          <w:p>
            <w:r>
              <w:t>+0.644% [−0.768, +2.056] ns</w:t>
            </w:r>
          </w:p>
        </w:tc>
        <w:tc>
          <w:tcPr>
            <w:tcW w:type="dxa" w:w="1440"/>
          </w:tcPr>
          <w:p>
            <w:r>
              <w:t>+0.530% [−0.734, +1.794] ns</w:t>
            </w:r>
          </w:p>
        </w:tc>
        <w:tc>
          <w:tcPr>
            <w:tcW w:type="dxa" w:w="1440"/>
          </w:tcPr>
          <w:p>
            <w:r>
              <w:t>−0.001% [−0.864, +0.861] ns</w:t>
            </w:r>
          </w:p>
        </w:tc>
      </w:tr>
    </w:tbl>
    <w:p/>
    <w:p>
      <w:pPr/>
      <w:r>
        <w:t>Control n: ITT 6,991,429 · Active 651,506 · ToT 295,074.</w:t>
      </w:r>
    </w:p>
    <w:p>
      <w:pPr/>
      <w:r>
        <w:t>On-title (the 224,739 targeted titles — ABF2 titles served v10 cue points;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t>−2.012% [−3.901, −0.122] sig</w:t>
            </w:r>
          </w:p>
        </w:tc>
        <w:tc>
          <w:tcPr>
            <w:tcW w:type="dxa" w:w="1728"/>
          </w:tcPr>
          <w:p>
            <w:r>
              <w:t>−2.412% [−4.126, −0.698] sig</w:t>
            </w:r>
          </w:p>
        </w:tc>
        <w:tc>
          <w:tcPr>
            <w:tcW w:type="dxa" w:w="1728"/>
          </w:tcPr>
          <w:p>
            <w:r>
              <w:t>−0.151% [−1.385, +1.082] ns</w:t>
            </w:r>
          </w:p>
        </w:tc>
      </w:tr>
      <w:tr>
        <w:tc>
          <w:tcPr>
            <w:tcW w:type="dxa" w:w="1728"/>
          </w:tcPr>
          <w:p>
            <w:r>
              <w:t>ITT</w:t>
            </w:r>
          </w:p>
        </w:tc>
        <w:tc>
          <w:tcPr>
            <w:tcW w:type="dxa" w:w="1728"/>
          </w:tcPr>
          <w:p>
            <w:r>
              <w:t>v5b</w:t>
            </w:r>
          </w:p>
        </w:tc>
        <w:tc>
          <w:tcPr>
            <w:tcW w:type="dxa" w:w="1728"/>
          </w:tcPr>
          <w:p>
            <w:r>
              <w:t>+4.123% [+2.060, +6.187] sig</w:t>
            </w:r>
          </w:p>
        </w:tc>
        <w:tc>
          <w:tcPr>
            <w:tcW w:type="dxa" w:w="1728"/>
          </w:tcPr>
          <w:p>
            <w:r>
              <w:t>+4.325% [+2.414, +6.236] sig</w:t>
            </w:r>
          </w:p>
        </w:tc>
        <w:tc>
          <w:tcPr>
            <w:tcW w:type="dxa" w:w="1728"/>
          </w:tcPr>
          <w:p>
            <w:r>
              <w:t>−0.206% [−1.434, +1.022] ns</w:t>
            </w:r>
          </w:p>
        </w:tc>
      </w:tr>
      <w:tr>
        <w:tc>
          <w:tcPr>
            <w:tcW w:type="dxa" w:w="1728"/>
          </w:tcPr>
          <w:p>
            <w:r>
              <w:t>ITT</w:t>
            </w:r>
          </w:p>
        </w:tc>
        <w:tc>
          <w:tcPr>
            <w:tcW w:type="dxa" w:w="1728"/>
          </w:tcPr>
          <w:p>
            <w:r>
              <w:t>v6</w:t>
            </w:r>
          </w:p>
        </w:tc>
        <w:tc>
          <w:tcPr>
            <w:tcW w:type="dxa" w:w="1728"/>
          </w:tcPr>
          <w:p>
            <w:r>
              <w:t>+0.601% [−1.451, +2.653] ns</w:t>
            </w:r>
          </w:p>
        </w:tc>
        <w:tc>
          <w:tcPr>
            <w:tcW w:type="dxa" w:w="1728"/>
          </w:tcPr>
          <w:p>
            <w:r>
              <w:t>−0.091% [−1.913, +1.732] ns</w:t>
            </w:r>
          </w:p>
        </w:tc>
        <w:tc>
          <w:tcPr>
            <w:tcW w:type="dxa" w:w="1728"/>
          </w:tcPr>
          <w:p>
            <w:r>
              <w:t>+0.142% [−1.093, +1.376] ns</w:t>
            </w:r>
          </w:p>
        </w:tc>
      </w:tr>
      <w:tr>
        <w:tc>
          <w:tcPr>
            <w:tcW w:type="dxa" w:w="1728"/>
          </w:tcPr>
          <w:p>
            <w:r>
              <w:t>Active</w:t>
            </w:r>
          </w:p>
        </w:tc>
        <w:tc>
          <w:tcPr>
            <w:tcW w:type="dxa" w:w="1728"/>
          </w:tcPr>
          <w:p>
            <w:r>
              <w:t>v4</w:t>
            </w:r>
          </w:p>
        </w:tc>
        <w:tc>
          <w:tcPr>
            <w:tcW w:type="dxa" w:w="1728"/>
          </w:tcPr>
          <w:p>
            <w:r>
              <w:t>−2.569% [−4.359, −0.779] sig</w:t>
            </w:r>
          </w:p>
        </w:tc>
        <w:tc>
          <w:tcPr>
            <w:tcW w:type="dxa" w:w="1728"/>
          </w:tcPr>
          <w:p>
            <w:r>
              <w:t>−2.903% [−4.518, −1.289] sig</w:t>
            </w:r>
          </w:p>
        </w:tc>
        <w:tc>
          <w:tcPr>
            <w:tcW w:type="dxa" w:w="1728"/>
          </w:tcPr>
          <w:p>
            <w:r>
              <w:t>−0.239% [−1.458, +0.980] ns</w:t>
            </w:r>
          </w:p>
        </w:tc>
      </w:tr>
      <w:tr>
        <w:tc>
          <w:tcPr>
            <w:tcW w:type="dxa" w:w="1728"/>
          </w:tcPr>
          <w:p>
            <w:r>
              <w:t>Active</w:t>
            </w:r>
          </w:p>
        </w:tc>
        <w:tc>
          <w:tcPr>
            <w:tcW w:type="dxa" w:w="1728"/>
          </w:tcPr>
          <w:p>
            <w:r>
              <w:t>v5b</w:t>
            </w:r>
          </w:p>
        </w:tc>
        <w:tc>
          <w:tcPr>
            <w:tcW w:type="dxa" w:w="1728"/>
          </w:tcPr>
          <w:p>
            <w:r>
              <w:t>+2.524% [+0.674, +4.374] sig</w:t>
            </w:r>
          </w:p>
        </w:tc>
        <w:tc>
          <w:tcPr>
            <w:tcW w:type="dxa" w:w="1728"/>
          </w:tcPr>
          <w:p>
            <w:r>
              <w:t>+2.623% [+0.950, +4.297] sig</w:t>
            </w:r>
          </w:p>
        </w:tc>
        <w:tc>
          <w:tcPr>
            <w:tcW w:type="dxa" w:w="1728"/>
          </w:tcPr>
          <w:p>
            <w:r>
              <w:t>−0.394% [−1.607, +0.820] ns</w:t>
            </w:r>
          </w:p>
        </w:tc>
      </w:tr>
      <w:tr>
        <w:tc>
          <w:tcPr>
            <w:tcW w:type="dxa" w:w="1728"/>
          </w:tcPr>
          <w:p>
            <w:r>
              <w:t>Active</w:t>
            </w:r>
          </w:p>
        </w:tc>
        <w:tc>
          <w:tcPr>
            <w:tcW w:type="dxa" w:w="1728"/>
          </w:tcPr>
          <w:p>
            <w:r>
              <w:t>v6</w:t>
            </w:r>
          </w:p>
        </w:tc>
        <w:tc>
          <w:tcPr>
            <w:tcW w:type="dxa" w:w="1728"/>
          </w:tcPr>
          <w:p>
            <w:r>
              <w:t>−0.449% [−2.297, +1.399] ns</w:t>
            </w:r>
          </w:p>
        </w:tc>
        <w:tc>
          <w:tcPr>
            <w:tcW w:type="dxa" w:w="1728"/>
          </w:tcPr>
          <w:p>
            <w:r>
              <w:t>−0.842% [−2.505, +0.820] ns</w:t>
            </w:r>
          </w:p>
        </w:tc>
        <w:tc>
          <w:tcPr>
            <w:tcW w:type="dxa" w:w="1728"/>
          </w:tcPr>
          <w:p>
            <w:r>
              <w:t>+0.043% [−1.179, +1.264] ns</w:t>
            </w:r>
          </w:p>
        </w:tc>
      </w:tr>
      <w:tr>
        <w:tc>
          <w:tcPr>
            <w:tcW w:type="dxa" w:w="1728"/>
          </w:tcPr>
          <w:p>
            <w:r>
              <w:t>ToT</w:t>
            </w:r>
          </w:p>
        </w:tc>
        <w:tc>
          <w:tcPr>
            <w:tcW w:type="dxa" w:w="1728"/>
          </w:tcPr>
          <w:p>
            <w:r>
              <w:t>v4</w:t>
            </w:r>
          </w:p>
        </w:tc>
        <w:tc>
          <w:tcPr>
            <w:tcW w:type="dxa" w:w="1728"/>
          </w:tcPr>
          <w:p>
            <w:r>
              <w:t>−2.626% [−4.375, −0.876] sig</w:t>
            </w:r>
          </w:p>
        </w:tc>
        <w:tc>
          <w:tcPr>
            <w:tcW w:type="dxa" w:w="1728"/>
          </w:tcPr>
          <w:p>
            <w:r>
              <w:t>−2.987% [−4.562, −1.413] sig</w:t>
            </w:r>
          </w:p>
        </w:tc>
        <w:tc>
          <w:tcPr>
            <w:tcW w:type="dxa" w:w="1728"/>
          </w:tcPr>
          <w:p>
            <w:r>
              <w:t>−0.206% [−1.380, +0.968] ns</w:t>
            </w:r>
          </w:p>
        </w:tc>
      </w:tr>
      <w:tr>
        <w:tc>
          <w:tcPr>
            <w:tcW w:type="dxa" w:w="1728"/>
          </w:tcPr>
          <w:p>
            <w:r>
              <w:t>ToT</w:t>
            </w:r>
          </w:p>
        </w:tc>
        <w:tc>
          <w:tcPr>
            <w:tcW w:type="dxa" w:w="1728"/>
          </w:tcPr>
          <w:p>
            <w:r>
              <w:t>v5b</w:t>
            </w:r>
          </w:p>
        </w:tc>
        <w:tc>
          <w:tcPr>
            <w:tcW w:type="dxa" w:w="1728"/>
          </w:tcPr>
          <w:p>
            <w:r>
              <w:t>+2.477% [+0.665, +4.288] sig</w:t>
            </w:r>
          </w:p>
        </w:tc>
        <w:tc>
          <w:tcPr>
            <w:tcW w:type="dxa" w:w="1728"/>
          </w:tcPr>
          <w:p>
            <w:r>
              <w:t>+2.547% [+0.915, +4.179] sig</w:t>
            </w:r>
          </w:p>
        </w:tc>
        <w:tc>
          <w:tcPr>
            <w:tcW w:type="dxa" w:w="1728"/>
          </w:tcPr>
          <w:p>
            <w:r>
              <w:t>−0.599% [−1.767, +0.570] ns</w:t>
            </w:r>
          </w:p>
        </w:tc>
      </w:tr>
      <w:tr>
        <w:tc>
          <w:tcPr>
            <w:tcW w:type="dxa" w:w="1728"/>
          </w:tcPr>
          <w:p>
            <w:r>
              <w:t>ToT</w:t>
            </w:r>
          </w:p>
        </w:tc>
        <w:tc>
          <w:tcPr>
            <w:tcW w:type="dxa" w:w="1728"/>
          </w:tcPr>
          <w:p>
            <w:r>
              <w:t>v6</w:t>
            </w:r>
          </w:p>
        </w:tc>
        <w:tc>
          <w:tcPr>
            <w:tcW w:type="dxa" w:w="1728"/>
          </w:tcPr>
          <w:p>
            <w:r>
              <w:t>−0.184% [−2.002, +1.635] ns</w:t>
            </w:r>
          </w:p>
        </w:tc>
        <w:tc>
          <w:tcPr>
            <w:tcW w:type="dxa" w:w="1728"/>
          </w:tcPr>
          <w:p>
            <w:r>
              <w:t>−0.646% [−2.274, +0.982] ns</w:t>
            </w:r>
          </w:p>
        </w:tc>
        <w:tc>
          <w:tcPr>
            <w:tcW w:type="dxa" w:w="1728"/>
          </w:tcPr>
          <w:p>
            <w:r>
              <w:t>+0.163% [−1.014, +1.339] ns</w:t>
            </w:r>
          </w:p>
        </w:tc>
      </w:tr>
    </w:tbl>
    <w:p/>
    <w:p>
      <w:pPr/>
      <w:r>
        <w:t>On the targeted titles v5b is +4.123% sig (ITT), +2.524% sig (Active), +2.477% sig (ToT). v4 is −2.012% sig (ITT), −2.569% sig (Active), −2.626% sig (ToT) — significantly negative on the treated titles even though its global unbudgeted revenue is −1.042% ns; v6 is +0.601% ns (ITT), not significant. On-title TVT is flat for all arms.</w:t>
      </w:r>
    </w:p>
    <w:p>
      <w:pPr/>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~0.2% of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6,975,353</w:t>
            </w:r>
          </w:p>
        </w:tc>
        <w:tc>
          <w:tcPr>
            <w:tcW w:type="dxa" w:w="1728"/>
          </w:tcPr>
          <w:p>
            <w:r>
              <w:t>−0.581% [−1.611, +0.448]</w:t>
            </w:r>
          </w:p>
        </w:tc>
        <w:tc>
          <w:tcPr>
            <w:tcW w:type="dxa" w:w="1728"/>
          </w:tcPr>
          <w:p>
            <w:r>
              <w:t>No</w:t>
            </w:r>
          </w:p>
        </w:tc>
      </w:tr>
      <w:tr>
        <w:tc>
          <w:tcPr>
            <w:tcW w:type="dxa" w:w="1728"/>
          </w:tcPr>
          <w:p>
            <w:r>
              <w:t>Non-power viewers</w:t>
            </w:r>
          </w:p>
        </w:tc>
        <w:tc>
          <w:tcPr>
            <w:tcW w:type="dxa" w:w="1728"/>
          </w:tcPr>
          <w:p>
            <w:r>
              <w:t>v5b</w:t>
            </w:r>
          </w:p>
        </w:tc>
        <w:tc>
          <w:tcPr>
            <w:tcW w:type="dxa" w:w="1728"/>
          </w:tcPr>
          <w:p>
            <w:r>
              <w:t>6,972,876</w:t>
            </w:r>
          </w:p>
        </w:tc>
        <w:tc>
          <w:tcPr>
            <w:tcW w:type="dxa" w:w="1728"/>
          </w:tcPr>
          <w:p>
            <w:r>
              <w:t>−0.249% [−1.278, +0.780]</w:t>
            </w:r>
          </w:p>
        </w:tc>
        <w:tc>
          <w:tcPr>
            <w:tcW w:type="dxa" w:w="1728"/>
          </w:tcPr>
          <w:p>
            <w:r>
              <w:t>No</w:t>
            </w:r>
          </w:p>
        </w:tc>
      </w:tr>
      <w:tr>
        <w:tc>
          <w:tcPr>
            <w:tcW w:type="dxa" w:w="1728"/>
          </w:tcPr>
          <w:p>
            <w:r>
              <w:t>Non-power viewers</w:t>
            </w:r>
          </w:p>
        </w:tc>
        <w:tc>
          <w:tcPr>
            <w:tcW w:type="dxa" w:w="1728"/>
          </w:tcPr>
          <w:p>
            <w:r>
              <w:t>v6</w:t>
            </w:r>
          </w:p>
        </w:tc>
        <w:tc>
          <w:tcPr>
            <w:tcW w:type="dxa" w:w="1728"/>
          </w:tcPr>
          <w:p>
            <w:r>
              <w:t>6,972,767</w:t>
            </w:r>
          </w:p>
        </w:tc>
        <w:tc>
          <w:tcPr>
            <w:tcW w:type="dxa" w:w="1728"/>
          </w:tcPr>
          <w:p>
            <w:r>
              <w:t>−0.660% [−1.689, +0.370]</w:t>
            </w:r>
          </w:p>
        </w:tc>
        <w:tc>
          <w:tcPr>
            <w:tcW w:type="dxa" w:w="1728"/>
          </w:tcPr>
          <w:p>
            <w:r>
              <w:t>No</w:t>
            </w:r>
          </w:p>
        </w:tc>
      </w:tr>
      <w:tr>
        <w:tc>
          <w:tcPr>
            <w:tcW w:type="dxa" w:w="1728"/>
          </w:tcPr>
          <w:p>
            <w:r>
              <w:t>Power viewers</w:t>
            </w:r>
          </w:p>
        </w:tc>
        <w:tc>
          <w:tcPr>
            <w:tcW w:type="dxa" w:w="1728"/>
          </w:tcPr>
          <w:p>
            <w:r>
              <w:t>v4</w:t>
            </w:r>
          </w:p>
        </w:tc>
        <w:tc>
          <w:tcPr>
            <w:tcW w:type="dxa" w:w="1728"/>
          </w:tcPr>
          <w:p>
            <w:r>
              <w:t>15,850</w:t>
            </w:r>
          </w:p>
        </w:tc>
        <w:tc>
          <w:tcPr>
            <w:tcW w:type="dxa" w:w="1728"/>
          </w:tcPr>
          <w:p>
            <w:r>
              <w:t>+0.580% [−0.867, +2.026]</w:t>
            </w:r>
          </w:p>
        </w:tc>
        <w:tc>
          <w:tcPr>
            <w:tcW w:type="dxa" w:w="1728"/>
          </w:tcPr>
          <w:p>
            <w:r>
              <w:t>No</w:t>
            </w:r>
          </w:p>
        </w:tc>
      </w:tr>
      <w:tr>
        <w:tc>
          <w:tcPr>
            <w:tcW w:type="dxa" w:w="1728"/>
          </w:tcPr>
          <w:p>
            <w:r>
              <w:t>Power viewers</w:t>
            </w:r>
          </w:p>
        </w:tc>
        <w:tc>
          <w:tcPr>
            <w:tcW w:type="dxa" w:w="1728"/>
          </w:tcPr>
          <w:p>
            <w:r>
              <w:t>v5b</w:t>
            </w:r>
          </w:p>
        </w:tc>
        <w:tc>
          <w:tcPr>
            <w:tcW w:type="dxa" w:w="1728"/>
          </w:tcPr>
          <w:p>
            <w:r>
              <w:t>15,793</w:t>
            </w:r>
          </w:p>
        </w:tc>
        <w:tc>
          <w:tcPr>
            <w:tcW w:type="dxa" w:w="1728"/>
          </w:tcPr>
          <w:p>
            <w:r>
              <w:t>+1.106% [−0.340, +2.552]</w:t>
            </w:r>
          </w:p>
        </w:tc>
        <w:tc>
          <w:tcPr>
            <w:tcW w:type="dxa" w:w="1728"/>
          </w:tcPr>
          <w:p>
            <w:r>
              <w:t>No</w:t>
            </w:r>
          </w:p>
        </w:tc>
      </w:tr>
      <w:tr>
        <w:tc>
          <w:tcPr>
            <w:tcW w:type="dxa" w:w="1728"/>
          </w:tcPr>
          <w:p>
            <w:r>
              <w:t>Power viewers</w:t>
            </w:r>
          </w:p>
        </w:tc>
        <w:tc>
          <w:tcPr>
            <w:tcW w:type="dxa" w:w="1728"/>
          </w:tcPr>
          <w:p>
            <w:r>
              <w:t>v6</w:t>
            </w:r>
          </w:p>
        </w:tc>
        <w:tc>
          <w:tcPr>
            <w:tcW w:type="dxa" w:w="1728"/>
          </w:tcPr>
          <w:p>
            <w:r>
              <w:t>15,494</w:t>
            </w:r>
          </w:p>
        </w:tc>
        <w:tc>
          <w:tcPr>
            <w:tcW w:type="dxa" w:w="1728"/>
          </w:tcPr>
          <w:p>
            <w:r>
              <w:t>+1.380% [−0.074, +2.835]</w:t>
            </w:r>
          </w:p>
        </w:tc>
        <w:tc>
          <w:tcPr>
            <w:tcW w:type="dxa" w:w="1728"/>
          </w:tcPr>
          <w:p>
            <w:r>
              <w:t>No</w:t>
            </w:r>
          </w:p>
        </w:tc>
      </w:tr>
    </w:tbl>
    <w:p/>
    <w:p>
      <w:pPr/>
      <w:r>
        <w:t>Control n: non-power 6,975,661 · power 15,768. No TVT move is significant for either viewer type. Power viewers are rare on web (~0.23%), so that row is very wide.</w:t>
      </w:r>
    </w:p>
    <w:p>
      <w:pPr>
        <w:pStyle w:val="Heading1"/>
      </w:pPr>
      <w:r>
        <w:t>2. Where the result lives</w:t>
      </w:r>
    </w:p>
    <w:p>
      <w:pPr/>
      <w:r>
        <w:t>Band and movie/episode numbers below are raw device-level Welch lifts (unbudgeted revenue/impressions, not CUPED), among devices who watched at least one targeted title in that band or type during the window. The same device can appear in more than one band. Titles are the 224,739 targeted titles;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−6.04% [−10.67, −1.40] sig</w:t>
            </w:r>
          </w:p>
        </w:tc>
        <w:tc>
          <w:tcPr>
            <w:tcW w:type="dxa" w:w="1440"/>
          </w:tcPr>
          <w:p>
            <w:r>
              <w:t>−1.32% ns</w:t>
            </w:r>
          </w:p>
        </w:tc>
        <w:tc>
          <w:tcPr>
            <w:tcW w:type="dxa" w:w="1440"/>
          </w:tcPr>
          <w:p>
            <w:r>
              <w:t>−6.21% [−10.61, −1.81] sig</w:t>
            </w:r>
          </w:p>
        </w:tc>
        <w:tc>
          <w:tcPr>
            <w:tcW w:type="dxa" w:w="1440"/>
          </w:tcPr>
          <w:p>
            <w:r>
              <w:t>80,887</w:t>
            </w:r>
          </w:p>
        </w:tc>
      </w:tr>
      <w:tr>
        <w:tc>
          <w:tcPr>
            <w:tcW w:type="dxa" w:w="1440"/>
          </w:tcPr>
          <w:p>
            <w:r>
              <w:t>1–3</w:t>
            </w:r>
          </w:p>
        </w:tc>
        <w:tc>
          <w:tcPr>
            <w:tcW w:type="dxa" w:w="1440"/>
          </w:tcPr>
          <w:p>
            <w:r>
              <w:t>v5b</w:t>
            </w:r>
          </w:p>
        </w:tc>
        <w:tc>
          <w:tcPr>
            <w:tcW w:type="dxa" w:w="1440"/>
          </w:tcPr>
          <w:p>
            <w:r>
              <w:t>+8.57% [+3.66, +13.49] sig</w:t>
            </w:r>
          </w:p>
        </w:tc>
        <w:tc>
          <w:tcPr>
            <w:tcW w:type="dxa" w:w="1440"/>
          </w:tcPr>
          <w:p>
            <w:r>
              <w:t>+0.29% ns</w:t>
            </w:r>
          </w:p>
        </w:tc>
        <w:tc>
          <w:tcPr>
            <w:tcW w:type="dxa" w:w="1440"/>
          </w:tcPr>
          <w:p>
            <w:r>
              <w:t>+9.37% [+4.71, +14.03] sig</w:t>
            </w:r>
          </w:p>
        </w:tc>
        <w:tc>
          <w:tcPr>
            <w:tcW w:type="dxa" w:w="1440"/>
          </w:tcPr>
          <w:p>
            <w:r>
              <w:t>80,437</w:t>
            </w:r>
          </w:p>
        </w:tc>
      </w:tr>
      <w:tr>
        <w:tc>
          <w:tcPr>
            <w:tcW w:type="dxa" w:w="1440"/>
          </w:tcPr>
          <w:p>
            <w:r>
              <w:t>1–3</w:t>
            </w:r>
          </w:p>
        </w:tc>
        <w:tc>
          <w:tcPr>
            <w:tcW w:type="dxa" w:w="1440"/>
          </w:tcPr>
          <w:p>
            <w:r>
              <w:t>v6</w:t>
            </w:r>
          </w:p>
        </w:tc>
        <w:tc>
          <w:tcPr>
            <w:tcW w:type="dxa" w:w="1440"/>
          </w:tcPr>
          <w:p>
            <w:r>
              <w:t>−8.45% [−13.03, −3.87] sig</w:t>
            </w:r>
          </w:p>
        </w:tc>
        <w:tc>
          <w:tcPr>
            <w:tcW w:type="dxa" w:w="1440"/>
          </w:tcPr>
          <w:p>
            <w:r>
              <w:t>−1.42% ns</w:t>
            </w:r>
          </w:p>
        </w:tc>
        <w:tc>
          <w:tcPr>
            <w:tcW w:type="dxa" w:w="1440"/>
          </w:tcPr>
          <w:p>
            <w:r>
              <w:t>−8.76% [−13.09, −4.42] sig</w:t>
            </w:r>
          </w:p>
        </w:tc>
        <w:tc>
          <w:tcPr>
            <w:tcW w:type="dxa" w:w="1440"/>
          </w:tcPr>
          <w:p>
            <w:r>
              <w:t>79,908</w:t>
            </w:r>
          </w:p>
        </w:tc>
      </w:tr>
      <w:tr>
        <w:tc>
          <w:tcPr>
            <w:tcW w:type="dxa" w:w="1440"/>
          </w:tcPr>
          <w:p>
            <w:r>
              <w:t>4–6</w:t>
            </w:r>
          </w:p>
        </w:tc>
        <w:tc>
          <w:tcPr>
            <w:tcW w:type="dxa" w:w="1440"/>
          </w:tcPr>
          <w:p>
            <w:r>
              <w:t>v4</w:t>
            </w:r>
          </w:p>
        </w:tc>
        <w:tc>
          <w:tcPr>
            <w:tcW w:type="dxa" w:w="1440"/>
          </w:tcPr>
          <w:p>
            <w:r>
              <w:t>+0.33% [−3.77, +4.42] ns</w:t>
            </w:r>
          </w:p>
        </w:tc>
        <w:tc>
          <w:tcPr>
            <w:tcW w:type="dxa" w:w="1440"/>
          </w:tcPr>
          <w:p>
            <w:r>
              <w:t>+1.38% ns</w:t>
            </w:r>
          </w:p>
        </w:tc>
        <w:tc>
          <w:tcPr>
            <w:tcW w:type="dxa" w:w="1440"/>
          </w:tcPr>
          <w:p>
            <w:r>
              <w:t>−0.27% [−3.90, +3.36] ns</w:t>
            </w:r>
          </w:p>
        </w:tc>
        <w:tc>
          <w:tcPr>
            <w:tcW w:type="dxa" w:w="1440"/>
          </w:tcPr>
          <w:p>
            <w:r>
              <w:t>93,605</w:t>
            </w:r>
          </w:p>
        </w:tc>
      </w:tr>
      <w:tr>
        <w:tc>
          <w:tcPr>
            <w:tcW w:type="dxa" w:w="1440"/>
          </w:tcPr>
          <w:p>
            <w:r>
              <w:t>4–6</w:t>
            </w:r>
          </w:p>
        </w:tc>
        <w:tc>
          <w:tcPr>
            <w:tcW w:type="dxa" w:w="1440"/>
          </w:tcPr>
          <w:p>
            <w:r>
              <w:t>v5b</w:t>
            </w:r>
          </w:p>
        </w:tc>
        <w:tc>
          <w:tcPr>
            <w:tcW w:type="dxa" w:w="1440"/>
          </w:tcPr>
          <w:p>
            <w:r>
              <w:t>+7.18% [+2.97, +11.39] sig</w:t>
            </w:r>
          </w:p>
        </w:tc>
        <w:tc>
          <w:tcPr>
            <w:tcW w:type="dxa" w:w="1440"/>
          </w:tcPr>
          <w:p>
            <w:r>
              <w:t>+0.45% ns</w:t>
            </w:r>
          </w:p>
        </w:tc>
        <w:tc>
          <w:tcPr>
            <w:tcW w:type="dxa" w:w="1440"/>
          </w:tcPr>
          <w:p>
            <w:r>
              <w:t>+6.95% [+3.20, +10.70] sig</w:t>
            </w:r>
          </w:p>
        </w:tc>
        <w:tc>
          <w:tcPr>
            <w:tcW w:type="dxa" w:w="1440"/>
          </w:tcPr>
          <w:p>
            <w:r>
              <w:t>93,050</w:t>
            </w:r>
          </w:p>
        </w:tc>
      </w:tr>
      <w:tr>
        <w:tc>
          <w:tcPr>
            <w:tcW w:type="dxa" w:w="1440"/>
          </w:tcPr>
          <w:p>
            <w:r>
              <w:t>4–6</w:t>
            </w:r>
          </w:p>
        </w:tc>
        <w:tc>
          <w:tcPr>
            <w:tcW w:type="dxa" w:w="1440"/>
          </w:tcPr>
          <w:p>
            <w:r>
              <w:t>v6</w:t>
            </w:r>
          </w:p>
        </w:tc>
        <w:tc>
          <w:tcPr>
            <w:tcW w:type="dxa" w:w="1440"/>
          </w:tcPr>
          <w:p>
            <w:r>
              <w:t>+1.66% [−2.80, +6.11] ns</w:t>
            </w:r>
          </w:p>
        </w:tc>
        <w:tc>
          <w:tcPr>
            <w:tcW w:type="dxa" w:w="1440"/>
          </w:tcPr>
          <w:p>
            <w:r>
              <w:t>+1.91% ns</w:t>
            </w:r>
          </w:p>
        </w:tc>
        <w:tc>
          <w:tcPr>
            <w:tcW w:type="dxa" w:w="1440"/>
          </w:tcPr>
          <w:p>
            <w:r>
              <w:t>+0.26% [−3.48, +3.99] ns</w:t>
            </w:r>
          </w:p>
        </w:tc>
        <w:tc>
          <w:tcPr>
            <w:tcW w:type="dxa" w:w="1440"/>
          </w:tcPr>
          <w:p>
            <w:r>
              <w:t>93,061</w:t>
            </w:r>
          </w:p>
        </w:tc>
      </w:tr>
      <w:tr>
        <w:tc>
          <w:tcPr>
            <w:tcW w:type="dxa" w:w="1440"/>
          </w:tcPr>
          <w:p>
            <w:r>
              <w:t>7–9</w:t>
            </w:r>
          </w:p>
        </w:tc>
        <w:tc>
          <w:tcPr>
            <w:tcW w:type="dxa" w:w="1440"/>
          </w:tcPr>
          <w:p>
            <w:r>
              <w:t>v4</w:t>
            </w:r>
          </w:p>
        </w:tc>
        <w:tc>
          <w:tcPr>
            <w:tcW w:type="dxa" w:w="1440"/>
          </w:tcPr>
          <w:p>
            <w:r>
              <w:t>−1.94% [−5.67, +1.80] ns</w:t>
            </w:r>
          </w:p>
        </w:tc>
        <w:tc>
          <w:tcPr>
            <w:tcW w:type="dxa" w:w="1440"/>
          </w:tcPr>
          <w:p>
            <w:r>
              <w:t>+0.08% ns</w:t>
            </w:r>
          </w:p>
        </w:tc>
        <w:tc>
          <w:tcPr>
            <w:tcW w:type="dxa" w:w="1440"/>
          </w:tcPr>
          <w:p>
            <w:r>
              <w:t>−2.56% [−6.11, +0.98] ns</w:t>
            </w:r>
          </w:p>
        </w:tc>
        <w:tc>
          <w:tcPr>
            <w:tcW w:type="dxa" w:w="1440"/>
          </w:tcPr>
          <w:p>
            <w:r>
              <w:t>137,085</w:t>
            </w:r>
          </w:p>
        </w:tc>
      </w:tr>
      <w:tr>
        <w:tc>
          <w:tcPr>
            <w:tcW w:type="dxa" w:w="1440"/>
          </w:tcPr>
          <w:p>
            <w:r>
              <w:t>7–9</w:t>
            </w:r>
          </w:p>
        </w:tc>
        <w:tc>
          <w:tcPr>
            <w:tcW w:type="dxa" w:w="1440"/>
          </w:tcPr>
          <w:p>
            <w:r>
              <w:t>v5b</w:t>
            </w:r>
          </w:p>
        </w:tc>
        <w:tc>
          <w:tcPr>
            <w:tcW w:type="dxa" w:w="1440"/>
          </w:tcPr>
          <w:p>
            <w:r>
              <w:t>+1.64% [−2.38, +5.65] ns</w:t>
            </w:r>
          </w:p>
        </w:tc>
        <w:tc>
          <w:tcPr>
            <w:tcW w:type="dxa" w:w="1440"/>
          </w:tcPr>
          <w:p>
            <w:r>
              <w:t>−1.77% ns</w:t>
            </w:r>
          </w:p>
        </w:tc>
        <w:tc>
          <w:tcPr>
            <w:tcW w:type="dxa" w:w="1440"/>
          </w:tcPr>
          <w:p>
            <w:r>
              <w:t>+0.66% [−2.98, +4.31] ns</w:t>
            </w:r>
          </w:p>
        </w:tc>
        <w:tc>
          <w:tcPr>
            <w:tcW w:type="dxa" w:w="1440"/>
          </w:tcPr>
          <w:p>
            <w:r>
              <w:t>136,804</w:t>
            </w:r>
          </w:p>
        </w:tc>
      </w:tr>
      <w:tr>
        <w:tc>
          <w:tcPr>
            <w:tcW w:type="dxa" w:w="1440"/>
          </w:tcPr>
          <w:p>
            <w:r>
              <w:t>7–9</w:t>
            </w:r>
          </w:p>
        </w:tc>
        <w:tc>
          <w:tcPr>
            <w:tcW w:type="dxa" w:w="1440"/>
          </w:tcPr>
          <w:p>
            <w:r>
              <w:t>v6</w:t>
            </w:r>
          </w:p>
        </w:tc>
        <w:tc>
          <w:tcPr>
            <w:tcW w:type="dxa" w:w="1440"/>
          </w:tcPr>
          <w:p>
            <w:r>
              <w:t>+0.49% [−3.44, +4.43] ns</w:t>
            </w:r>
          </w:p>
        </w:tc>
        <w:tc>
          <w:tcPr>
            <w:tcW w:type="dxa" w:w="1440"/>
          </w:tcPr>
          <w:p>
            <w:r>
              <w:t>−0.96% ns</w:t>
            </w:r>
          </w:p>
        </w:tc>
        <w:tc>
          <w:tcPr>
            <w:tcW w:type="dxa" w:w="1440"/>
          </w:tcPr>
          <w:p>
            <w:r>
              <w:t>−0.10% [−3.71, +3.51] ns</w:t>
            </w:r>
          </w:p>
        </w:tc>
        <w:tc>
          <w:tcPr>
            <w:tcW w:type="dxa" w:w="1440"/>
          </w:tcPr>
          <w:p>
            <w:r>
              <w:t>136,470</w:t>
            </w:r>
          </w:p>
        </w:tc>
      </w:tr>
      <w:tr>
        <w:tc>
          <w:tcPr>
            <w:tcW w:type="dxa" w:w="1440"/>
          </w:tcPr>
          <w:p>
            <w:r>
              <w:t>10–12</w:t>
            </w:r>
          </w:p>
        </w:tc>
        <w:tc>
          <w:tcPr>
            <w:tcW w:type="dxa" w:w="1440"/>
          </w:tcPr>
          <w:p>
            <w:r>
              <w:t>v4</w:t>
            </w:r>
          </w:p>
        </w:tc>
        <w:tc>
          <w:tcPr>
            <w:tcW w:type="dxa" w:w="1440"/>
          </w:tcPr>
          <w:p>
            <w:r>
              <w:t>+3.59% [+0.51, +6.68] sig</w:t>
            </w:r>
          </w:p>
        </w:tc>
        <w:tc>
          <w:tcPr>
            <w:tcW w:type="dxa" w:w="1440"/>
          </w:tcPr>
          <w:p>
            <w:r>
              <w:t>+0.72% ns</w:t>
            </w:r>
          </w:p>
        </w:tc>
        <w:tc>
          <w:tcPr>
            <w:tcW w:type="dxa" w:w="1440"/>
          </w:tcPr>
          <w:p>
            <w:r>
              <w:t>+2.74% [+0.03, +5.45] sig</w:t>
            </w:r>
          </w:p>
        </w:tc>
        <w:tc>
          <w:tcPr>
            <w:tcW w:type="dxa" w:w="1440"/>
          </w:tcPr>
          <w:p>
            <w:r>
              <w:t>163,168</w:t>
            </w:r>
          </w:p>
        </w:tc>
      </w:tr>
      <w:tr>
        <w:tc>
          <w:tcPr>
            <w:tcW w:type="dxa" w:w="1440"/>
          </w:tcPr>
          <w:p>
            <w:r>
              <w:t>10–12</w:t>
            </w:r>
          </w:p>
        </w:tc>
        <w:tc>
          <w:tcPr>
            <w:tcW w:type="dxa" w:w="1440"/>
          </w:tcPr>
          <w:p>
            <w:r>
              <w:t>v5b</w:t>
            </w:r>
          </w:p>
        </w:tc>
        <w:tc>
          <w:tcPr>
            <w:tcW w:type="dxa" w:w="1440"/>
          </w:tcPr>
          <w:p>
            <w:r>
              <w:t>+3.94% [+1.08, +6.79] sig</w:t>
            </w:r>
          </w:p>
        </w:tc>
        <w:tc>
          <w:tcPr>
            <w:tcW w:type="dxa" w:w="1440"/>
          </w:tcPr>
          <w:p>
            <w:r>
              <w:t>+0.17% ns</w:t>
            </w:r>
          </w:p>
        </w:tc>
        <w:tc>
          <w:tcPr>
            <w:tcW w:type="dxa" w:w="1440"/>
          </w:tcPr>
          <w:p>
            <w:r>
              <w:t>+3.28% [+0.67, +5.89] sig</w:t>
            </w:r>
          </w:p>
        </w:tc>
        <w:tc>
          <w:tcPr>
            <w:tcW w:type="dxa" w:w="1440"/>
          </w:tcPr>
          <w:p>
            <w:r>
              <w:t>163,871</w:t>
            </w:r>
          </w:p>
        </w:tc>
      </w:tr>
      <w:tr>
        <w:tc>
          <w:tcPr>
            <w:tcW w:type="dxa" w:w="1440"/>
          </w:tcPr>
          <w:p>
            <w:r>
              <w:t>10–12</w:t>
            </w:r>
          </w:p>
        </w:tc>
        <w:tc>
          <w:tcPr>
            <w:tcW w:type="dxa" w:w="1440"/>
          </w:tcPr>
          <w:p>
            <w:r>
              <w:t>v6</w:t>
            </w:r>
          </w:p>
        </w:tc>
        <w:tc>
          <w:tcPr>
            <w:tcW w:type="dxa" w:w="1440"/>
          </w:tcPr>
          <w:p>
            <w:r>
              <w:t>+6.67% [+3.80, +9.53] sig</w:t>
            </w:r>
          </w:p>
        </w:tc>
        <w:tc>
          <w:tcPr>
            <w:tcW w:type="dxa" w:w="1440"/>
          </w:tcPr>
          <w:p>
            <w:r>
              <w:t>+0.03% ns</w:t>
            </w:r>
          </w:p>
        </w:tc>
        <w:tc>
          <w:tcPr>
            <w:tcW w:type="dxa" w:w="1440"/>
          </w:tcPr>
          <w:p>
            <w:r>
              <w:t>+6.77% [+4.12, +9.43] sig</w:t>
            </w:r>
          </w:p>
        </w:tc>
        <w:tc>
          <w:tcPr>
            <w:tcW w:type="dxa" w:w="1440"/>
          </w:tcPr>
          <w:p>
            <w:r>
              <w:t>161,974</w:t>
            </w:r>
          </w:p>
        </w:tc>
      </w:tr>
      <w:tr>
        <w:tc>
          <w:tcPr>
            <w:tcW w:type="dxa" w:w="1440"/>
          </w:tcPr>
          <w:p>
            <w:r>
              <w:t>13+</w:t>
            </w:r>
          </w:p>
        </w:tc>
        <w:tc>
          <w:tcPr>
            <w:tcW w:type="dxa" w:w="1440"/>
          </w:tcPr>
          <w:p>
            <w:r>
              <w:t>v4</w:t>
            </w:r>
          </w:p>
        </w:tc>
        <w:tc>
          <w:tcPr>
            <w:tcW w:type="dxa" w:w="1440"/>
          </w:tcPr>
          <w:p>
            <w:r>
              <w:t>−1.57% [−3.98, +0.84] ns</w:t>
            </w:r>
          </w:p>
        </w:tc>
        <w:tc>
          <w:tcPr>
            <w:tcW w:type="dxa" w:w="1440"/>
          </w:tcPr>
          <w:p>
            <w:r>
              <w:t>+0.30% ns</w:t>
            </w:r>
          </w:p>
        </w:tc>
        <w:tc>
          <w:tcPr>
            <w:tcW w:type="dxa" w:w="1440"/>
          </w:tcPr>
          <w:p>
            <w:r>
              <w:t>−2.04% [−4.14, +0.06] ns</w:t>
            </w:r>
          </w:p>
        </w:tc>
        <w:tc>
          <w:tcPr>
            <w:tcW w:type="dxa" w:w="1440"/>
          </w:tcPr>
          <w:p>
            <w:r>
              <w:t>250,502</w:t>
            </w:r>
          </w:p>
        </w:tc>
      </w:tr>
      <w:tr>
        <w:tc>
          <w:tcPr>
            <w:tcW w:type="dxa" w:w="1440"/>
          </w:tcPr>
          <w:p>
            <w:r>
              <w:t>13+</w:t>
            </w:r>
          </w:p>
        </w:tc>
        <w:tc>
          <w:tcPr>
            <w:tcW w:type="dxa" w:w="1440"/>
          </w:tcPr>
          <w:p>
            <w:r>
              <w:t>v5b</w:t>
            </w:r>
          </w:p>
        </w:tc>
        <w:tc>
          <w:tcPr>
            <w:tcW w:type="dxa" w:w="1440"/>
          </w:tcPr>
          <w:p>
            <w:r>
              <w:t>−1.07% [−3.41, +1.27] ns</w:t>
            </w:r>
          </w:p>
        </w:tc>
        <w:tc>
          <w:tcPr>
            <w:tcW w:type="dxa" w:w="1440"/>
          </w:tcPr>
          <w:p>
            <w:r>
              <w:t>+0.86% ns</w:t>
            </w:r>
          </w:p>
        </w:tc>
        <w:tc>
          <w:tcPr>
            <w:tcW w:type="dxa" w:w="1440"/>
          </w:tcPr>
          <w:p>
            <w:r>
              <w:t>−1.19% [−3.32, +0.94] ns</w:t>
            </w:r>
          </w:p>
        </w:tc>
        <w:tc>
          <w:tcPr>
            <w:tcW w:type="dxa" w:w="1440"/>
          </w:tcPr>
          <w:p>
            <w:r>
              <w:t>249,603</w:t>
            </w:r>
          </w:p>
        </w:tc>
      </w:tr>
      <w:tr>
        <w:tc>
          <w:tcPr>
            <w:tcW w:type="dxa" w:w="1440"/>
          </w:tcPr>
          <w:p>
            <w:r>
              <w:t>13+</w:t>
            </w:r>
          </w:p>
        </w:tc>
        <w:tc>
          <w:tcPr>
            <w:tcW w:type="dxa" w:w="1440"/>
          </w:tcPr>
          <w:p>
            <w:r>
              <w:t>v6</w:t>
            </w:r>
          </w:p>
        </w:tc>
        <w:tc>
          <w:tcPr>
            <w:tcW w:type="dxa" w:w="1440"/>
          </w:tcPr>
          <w:p>
            <w:r>
              <w:t>+2.35% [−0.12, +4.81] ns</w:t>
            </w:r>
          </w:p>
        </w:tc>
        <w:tc>
          <w:tcPr>
            <w:tcW w:type="dxa" w:w="1440"/>
          </w:tcPr>
          <w:p>
            <w:r>
              <w:t>+0.40% ns</w:t>
            </w:r>
          </w:p>
        </w:tc>
        <w:tc>
          <w:tcPr>
            <w:tcW w:type="dxa" w:w="1440"/>
          </w:tcPr>
          <w:p>
            <w:r>
              <w:t>+2.49% [+0.23, +4.76] sig</w:t>
            </w:r>
          </w:p>
        </w:tc>
        <w:tc>
          <w:tcPr>
            <w:tcW w:type="dxa" w:w="1440"/>
          </w:tcPr>
          <w:p>
            <w:r>
              <w:t>248,750</w:t>
            </w:r>
          </w:p>
        </w:tc>
      </w:tr>
    </w:tbl>
    <w:p/>
    <w:p>
      <w:pPr/>
      <w:r>
        <w:t>Control n by band: 1–3 80,652 · 4–6 93,440 · 7–9 136,552 · 10–12 162,766 · 13+ 250,804.</w:t>
      </w:r>
    </w:p>
    <w:p>
      <w:pPr>
        <w:pStyle w:val="ListBullet"/>
      </w:pPr>
      <w:r>
        <w:t>v5b gains in the sparse bands: 1–3 +8.57% sig, 4–6 +7.18% sig. v4 and v6 lose at 1–3 (−6.04% sig, −8.45% sig).</w:t>
      </w:r>
    </w:p>
    <w:p>
      <w:pPr>
        <w:pStyle w:val="ListBullet"/>
      </w:pPr>
      <w:r>
        <w:t>10–12 is the positive pocket for every arm: v6 +6.67% sig, v5b +3.94% sig, v4 +3.59% sig.</w:t>
      </w:r>
    </w:p>
    <w:p>
      <w:pPr>
        <w:pStyle w:val="ListBullet"/>
      </w:pPr>
      <w:r>
        <w:t>7–9 and 13+ are not significant for any arm. Band cells on web are small (81–251K devices), so only large moves clear zero.</w:t>
      </w:r>
    </w:p>
    <w:p>
      <w:pPr>
        <w:pStyle w:val="ListBullet"/>
      </w:pPr>
      <w:r>
        <w:t>TVT is flat in every band.</w:t>
      </w:r>
    </w:p>
    <w:p>
      <w:pPr>
        <w:pStyle w:val="Heading2"/>
      </w:pPr>
      <w:r>
        <w:t>2b. Below-control versus at-or-above-control</w:t>
      </w:r>
    </w:p>
    <w:p>
      <w:pPr/>
      <w:r>
        <w:t>Built from the served cue lists in `ml_dev.tmp.abf3_new_pruner_cuepoints` (snapshot 2026-10-08; T1 = v4, T2 = v6, T3 = v5b). Each dense-band title is tagged by whether that arm kept fewer cue points than its ABF2 control count or at or above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t>−9.04% [−14.22, −3.87] sig</w:t>
            </w:r>
          </w:p>
        </w:tc>
        <w:tc>
          <w:tcPr>
            <w:tcW w:type="dxa" w:w="1728"/>
          </w:tcPr>
          <w:p>
            <w:r>
              <w:t>−0.51% ns</w:t>
            </w:r>
          </w:p>
        </w:tc>
      </w:tr>
      <w:tr>
        <w:tc>
          <w:tcPr>
            <w:tcW w:type="dxa" w:w="1728"/>
          </w:tcPr>
          <w:p>
            <w:r>
              <w:t>10–12</w:t>
            </w:r>
          </w:p>
        </w:tc>
        <w:tc>
          <w:tcPr>
            <w:tcW w:type="dxa" w:w="1728"/>
          </w:tcPr>
          <w:p>
            <w:r>
              <w:t>below control</w:t>
            </w:r>
          </w:p>
        </w:tc>
        <w:tc>
          <w:tcPr>
            <w:tcW w:type="dxa" w:w="1728"/>
          </w:tcPr>
          <w:p>
            <w:r>
              <w:t>v5b</w:t>
            </w:r>
          </w:p>
        </w:tc>
        <w:tc>
          <w:tcPr>
            <w:tcW w:type="dxa" w:w="1728"/>
          </w:tcPr>
          <w:p>
            <w:r>
              <w:t>−2.35% [−10.99, +6.29] ns</w:t>
            </w:r>
          </w:p>
        </w:tc>
        <w:tc>
          <w:tcPr>
            <w:tcW w:type="dxa" w:w="1728"/>
          </w:tcPr>
          <w:p>
            <w:r>
              <w:t>−1.17% ns</w:t>
            </w:r>
          </w:p>
        </w:tc>
      </w:tr>
      <w:tr>
        <w:tc>
          <w:tcPr>
            <w:tcW w:type="dxa" w:w="1728"/>
          </w:tcPr>
          <w:p>
            <w:r>
              <w:t>10–12</w:t>
            </w:r>
          </w:p>
        </w:tc>
        <w:tc>
          <w:tcPr>
            <w:tcW w:type="dxa" w:w="1728"/>
          </w:tcPr>
          <w:p>
            <w:r>
              <w:t>below control</w:t>
            </w:r>
          </w:p>
        </w:tc>
        <w:tc>
          <w:tcPr>
            <w:tcW w:type="dxa" w:w="1728"/>
          </w:tcPr>
          <w:p>
            <w:r>
              <w:t>v6</w:t>
            </w:r>
          </w:p>
        </w:tc>
        <w:tc>
          <w:tcPr>
            <w:tcW w:type="dxa" w:w="1728"/>
          </w:tcPr>
          <w:p>
            <w:r>
              <w:t>−8.39% [−16.59, −0.19] sig</w:t>
            </w:r>
          </w:p>
        </w:tc>
        <w:tc>
          <w:tcPr>
            <w:tcW w:type="dxa" w:w="1728"/>
          </w:tcPr>
          <w:p>
            <w:r>
              <w:t>−1.25% ns</w:t>
            </w:r>
          </w:p>
        </w:tc>
      </w:tr>
      <w:tr>
        <w:tc>
          <w:tcPr>
            <w:tcW w:type="dxa" w:w="1728"/>
          </w:tcPr>
          <w:p>
            <w:r>
              <w:t>10–12</w:t>
            </w:r>
          </w:p>
        </w:tc>
        <w:tc>
          <w:tcPr>
            <w:tcW w:type="dxa" w:w="1728"/>
          </w:tcPr>
          <w:p>
            <w:r>
              <w:t>at/above control</w:t>
            </w:r>
          </w:p>
        </w:tc>
        <w:tc>
          <w:tcPr>
            <w:tcW w:type="dxa" w:w="1728"/>
          </w:tcPr>
          <w:p>
            <w:r>
              <w:t>v4</w:t>
            </w:r>
          </w:p>
        </w:tc>
        <w:tc>
          <w:tcPr>
            <w:tcW w:type="dxa" w:w="1728"/>
          </w:tcPr>
          <w:p>
            <w:r>
              <w:t>+8.47% [+5.23, +11.72] sig</w:t>
            </w:r>
          </w:p>
        </w:tc>
        <w:tc>
          <w:tcPr>
            <w:tcW w:type="dxa" w:w="1728"/>
          </w:tcPr>
          <w:p>
            <w:r>
              <w:t>+1.21% ns</w:t>
            </w:r>
          </w:p>
        </w:tc>
      </w:tr>
      <w:tr>
        <w:tc>
          <w:tcPr>
            <w:tcW w:type="dxa" w:w="1728"/>
          </w:tcPr>
          <w:p>
            <w:r>
              <w:t>10–12</w:t>
            </w:r>
          </w:p>
        </w:tc>
        <w:tc>
          <w:tcPr>
            <w:tcW w:type="dxa" w:w="1728"/>
          </w:tcPr>
          <w:p>
            <w:r>
              <w:t>at/above control</w:t>
            </w:r>
          </w:p>
        </w:tc>
        <w:tc>
          <w:tcPr>
            <w:tcW w:type="dxa" w:w="1728"/>
          </w:tcPr>
          <w:p>
            <w:r>
              <w:t>v5b</w:t>
            </w:r>
          </w:p>
        </w:tc>
        <w:tc>
          <w:tcPr>
            <w:tcW w:type="dxa" w:w="1728"/>
          </w:tcPr>
          <w:p>
            <w:r>
              <w:t>+4.83% [+1.92, +7.73] sig</w:t>
            </w:r>
          </w:p>
        </w:tc>
        <w:tc>
          <w:tcPr>
            <w:tcW w:type="dxa" w:w="1728"/>
          </w:tcPr>
          <w:p>
            <w:r>
              <w:t>+0.42% ns</w:t>
            </w:r>
          </w:p>
        </w:tc>
      </w:tr>
      <w:tr>
        <w:tc>
          <w:tcPr>
            <w:tcW w:type="dxa" w:w="1728"/>
          </w:tcPr>
          <w:p>
            <w:r>
              <w:t>10–12</w:t>
            </w:r>
          </w:p>
        </w:tc>
        <w:tc>
          <w:tcPr>
            <w:tcW w:type="dxa" w:w="1728"/>
          </w:tcPr>
          <w:p>
            <w:r>
              <w:t>at/above control</w:t>
            </w:r>
          </w:p>
        </w:tc>
        <w:tc>
          <w:tcPr>
            <w:tcW w:type="dxa" w:w="1728"/>
          </w:tcPr>
          <w:p>
            <w:r>
              <w:t>v6</w:t>
            </w:r>
          </w:p>
        </w:tc>
        <w:tc>
          <w:tcPr>
            <w:tcW w:type="dxa" w:w="1728"/>
          </w:tcPr>
          <w:p>
            <w:r>
              <w:t>+8.35% [+5.41, +11.29] sig</w:t>
            </w:r>
          </w:p>
        </w:tc>
        <w:tc>
          <w:tcPr>
            <w:tcW w:type="dxa" w:w="1728"/>
          </w:tcPr>
          <w:p>
            <w:r>
              <w:t>+0.19% ns</w:t>
            </w:r>
          </w:p>
        </w:tc>
      </w:tr>
      <w:tr>
        <w:tc>
          <w:tcPr>
            <w:tcW w:type="dxa" w:w="1728"/>
          </w:tcPr>
          <w:p>
            <w:r>
              <w:t>13+</w:t>
            </w:r>
          </w:p>
        </w:tc>
        <w:tc>
          <w:tcPr>
            <w:tcW w:type="dxa" w:w="1728"/>
          </w:tcPr>
          <w:p>
            <w:r>
              <w:t>below control</w:t>
            </w:r>
          </w:p>
        </w:tc>
        <w:tc>
          <w:tcPr>
            <w:tcW w:type="dxa" w:w="1728"/>
          </w:tcPr>
          <w:p>
            <w:r>
              <w:t>v4</w:t>
            </w:r>
          </w:p>
        </w:tc>
        <w:tc>
          <w:tcPr>
            <w:tcW w:type="dxa" w:w="1728"/>
          </w:tcPr>
          <w:p>
            <w:r>
              <w:t>−3.51% [−6.17, −0.85] sig</w:t>
            </w:r>
          </w:p>
        </w:tc>
        <w:tc>
          <w:tcPr>
            <w:tcW w:type="dxa" w:w="1728"/>
          </w:tcPr>
          <w:p>
            <w:r>
              <w:t>+0.12% ns</w:t>
            </w:r>
          </w:p>
        </w:tc>
      </w:tr>
      <w:tr>
        <w:tc>
          <w:tcPr>
            <w:tcW w:type="dxa" w:w="1728"/>
          </w:tcPr>
          <w:p>
            <w:r>
              <w:t>13+</w:t>
            </w:r>
          </w:p>
        </w:tc>
        <w:tc>
          <w:tcPr>
            <w:tcW w:type="dxa" w:w="1728"/>
          </w:tcPr>
          <w:p>
            <w:r>
              <w:t>below control</w:t>
            </w:r>
          </w:p>
        </w:tc>
        <w:tc>
          <w:tcPr>
            <w:tcW w:type="dxa" w:w="1728"/>
          </w:tcPr>
          <w:p>
            <w:r>
              <w:t>v5b</w:t>
            </w:r>
          </w:p>
        </w:tc>
        <w:tc>
          <w:tcPr>
            <w:tcW w:type="dxa" w:w="1728"/>
          </w:tcPr>
          <w:p>
            <w:r>
              <w:t>−3.05% [−5.94, −0.16] sig</w:t>
            </w:r>
          </w:p>
        </w:tc>
        <w:tc>
          <w:tcPr>
            <w:tcW w:type="dxa" w:w="1728"/>
          </w:tcPr>
          <w:p>
            <w:r>
              <w:t>+0.97% ns</w:t>
            </w:r>
          </w:p>
        </w:tc>
      </w:tr>
      <w:tr>
        <w:tc>
          <w:tcPr>
            <w:tcW w:type="dxa" w:w="1728"/>
          </w:tcPr>
          <w:p>
            <w:r>
              <w:t>13+</w:t>
            </w:r>
          </w:p>
        </w:tc>
        <w:tc>
          <w:tcPr>
            <w:tcW w:type="dxa" w:w="1728"/>
          </w:tcPr>
          <w:p>
            <w:r>
              <w:t>below control</w:t>
            </w:r>
          </w:p>
        </w:tc>
        <w:tc>
          <w:tcPr>
            <w:tcW w:type="dxa" w:w="1728"/>
          </w:tcPr>
          <w:p>
            <w:r>
              <w:t>v6</w:t>
            </w:r>
          </w:p>
        </w:tc>
        <w:tc>
          <w:tcPr>
            <w:tcW w:type="dxa" w:w="1728"/>
          </w:tcPr>
          <w:p>
            <w:r>
              <w:t>−3.74% [−6.99, −0.50] sig</w:t>
            </w:r>
          </w:p>
        </w:tc>
        <w:tc>
          <w:tcPr>
            <w:tcW w:type="dxa" w:w="1728"/>
          </w:tcPr>
          <w:p>
            <w:r>
              <w:t>+0.16% ns</w:t>
            </w:r>
          </w:p>
        </w:tc>
      </w:tr>
      <w:tr>
        <w:tc>
          <w:tcPr>
            <w:tcW w:type="dxa" w:w="1728"/>
          </w:tcPr>
          <w:p>
            <w:r>
              <w:t>13+</w:t>
            </w:r>
          </w:p>
        </w:tc>
        <w:tc>
          <w:tcPr>
            <w:tcW w:type="dxa" w:w="1728"/>
          </w:tcPr>
          <w:p>
            <w:r>
              <w:t>at/above control</w:t>
            </w:r>
          </w:p>
        </w:tc>
        <w:tc>
          <w:tcPr>
            <w:tcW w:type="dxa" w:w="1728"/>
          </w:tcPr>
          <w:p>
            <w:r>
              <w:t>v4</w:t>
            </w:r>
          </w:p>
        </w:tc>
        <w:tc>
          <w:tcPr>
            <w:tcW w:type="dxa" w:w="1728"/>
          </w:tcPr>
          <w:p>
            <w:r>
              <w:t>+2.52% [−0.65, +5.69] ns</w:t>
            </w:r>
          </w:p>
        </w:tc>
        <w:tc>
          <w:tcPr>
            <w:tcW w:type="dxa" w:w="1728"/>
          </w:tcPr>
          <w:p>
            <w:r>
              <w:t>+0.50% ns</w:t>
            </w:r>
          </w:p>
        </w:tc>
      </w:tr>
      <w:tr>
        <w:tc>
          <w:tcPr>
            <w:tcW w:type="dxa" w:w="1728"/>
          </w:tcPr>
          <w:p>
            <w:r>
              <w:t>13+</w:t>
            </w:r>
          </w:p>
        </w:tc>
        <w:tc>
          <w:tcPr>
            <w:tcW w:type="dxa" w:w="1728"/>
          </w:tcPr>
          <w:p>
            <w:r>
              <w:t>at/above control</w:t>
            </w:r>
          </w:p>
        </w:tc>
        <w:tc>
          <w:tcPr>
            <w:tcW w:type="dxa" w:w="1728"/>
          </w:tcPr>
          <w:p>
            <w:r>
              <w:t>v5b</w:t>
            </w:r>
          </w:p>
        </w:tc>
        <w:tc>
          <w:tcPr>
            <w:tcW w:type="dxa" w:w="1728"/>
          </w:tcPr>
          <w:p>
            <w:r>
              <w:t>+0.76% [−1.98, +3.51] ns</w:t>
            </w:r>
          </w:p>
        </w:tc>
        <w:tc>
          <w:tcPr>
            <w:tcW w:type="dxa" w:w="1728"/>
          </w:tcPr>
          <w:p>
            <w:r>
              <w:t>+0.21% ns</w:t>
            </w:r>
          </w:p>
        </w:tc>
      </w:tr>
      <w:tr>
        <w:tc>
          <w:tcPr>
            <w:tcW w:type="dxa" w:w="1728"/>
          </w:tcPr>
          <w:p>
            <w:r>
              <w:t>13+</w:t>
            </w:r>
          </w:p>
        </w:tc>
        <w:tc>
          <w:tcPr>
            <w:tcW w:type="dxa" w:w="1728"/>
          </w:tcPr>
          <w:p>
            <w:r>
              <w:t>at/above control</w:t>
            </w:r>
          </w:p>
        </w:tc>
        <w:tc>
          <w:tcPr>
            <w:tcW w:type="dxa" w:w="1728"/>
          </w:tcPr>
          <w:p>
            <w:r>
              <w:t>v6</w:t>
            </w:r>
          </w:p>
        </w:tc>
        <w:tc>
          <w:tcPr>
            <w:tcW w:type="dxa" w:w="1728"/>
          </w:tcPr>
          <w:p>
            <w:r>
              <w:t>+5.92% [+3.23, +8.60] sig</w:t>
            </w:r>
          </w:p>
        </w:tc>
        <w:tc>
          <w:tcPr>
            <w:tcW w:type="dxa" w:w="1728"/>
          </w:tcPr>
          <w:p>
            <w:r>
              <w:t>+0.49% ns</w:t>
            </w:r>
          </w:p>
        </w:tc>
      </w:tr>
    </w:tbl>
    <w:p/>
    <w:p>
      <w:pPr/>
      <w:r>
        <w:t>Same direction as OTT and mobile for v4 and v6: below-control titles lose and at/above-control titles gain. Significant cells: v4 10–12 below −9.04% sig; v4 10–12 at/above +8.47% sig; v4 13+ below −3.51% sig; v5b 10–12 at/above +4.83% sig; v5b 13+ below −3.05% sig; v6 10–12 below −8.39% sig; v6 10–12 at/above +8.35% sig; v6 13+ below −3.74% sig; v6 13+ at/above +5.92% sig. Cells not listed are not significant at web sample sizes. The per-title floor case holds on web.</w:t>
      </w:r>
    </w:p>
    <w:p>
      <w:pPr>
        <w:pStyle w:val="Heading2"/>
      </w:pPr>
      <w:r>
        <w:t>2c. Movies versus episodes</w:t>
      </w:r>
    </w:p>
    <w:p>
      <w:pPr/>
      <w:r>
        <w:t>Device-level raw Welch, unbudgeted revenue/impressions, among devices who watched a targeted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+2.13% [−0.14, +4.39] ns</w:t>
            </w:r>
          </w:p>
        </w:tc>
        <w:tc>
          <w:tcPr>
            <w:tcW w:type="dxa" w:w="1440"/>
          </w:tcPr>
          <w:p>
            <w:r>
              <w:t>+0.51% ns</w:t>
            </w:r>
          </w:p>
        </w:tc>
        <w:tc>
          <w:tcPr>
            <w:tcW w:type="dxa" w:w="1440"/>
          </w:tcPr>
          <w:p>
            <w:r>
              <w:t>+1.72% ns</w:t>
            </w:r>
          </w:p>
        </w:tc>
        <w:tc>
          <w:tcPr>
            <w:tcW w:type="dxa" w:w="1440"/>
          </w:tcPr>
          <w:p>
            <w:r>
              <w:t>382,291</w:t>
            </w:r>
          </w:p>
        </w:tc>
      </w:tr>
      <w:tr>
        <w:tc>
          <w:tcPr>
            <w:tcW w:type="dxa" w:w="1440"/>
          </w:tcPr>
          <w:p>
            <w:r>
              <w:t>Movie</w:t>
            </w:r>
          </w:p>
        </w:tc>
        <w:tc>
          <w:tcPr>
            <w:tcW w:type="dxa" w:w="1440"/>
          </w:tcPr>
          <w:p>
            <w:r>
              <w:t>v5b</w:t>
            </w:r>
          </w:p>
        </w:tc>
        <w:tc>
          <w:tcPr>
            <w:tcW w:type="dxa" w:w="1440"/>
          </w:tcPr>
          <w:p>
            <w:r>
              <w:t>+2.40% [+0.28, +4.53] sig</w:t>
            </w:r>
          </w:p>
        </w:tc>
        <w:tc>
          <w:tcPr>
            <w:tcW w:type="dxa" w:w="1440"/>
          </w:tcPr>
          <w:p>
            <w:r>
              <w:t>+0.78% ns</w:t>
            </w:r>
          </w:p>
        </w:tc>
        <w:tc>
          <w:tcPr>
            <w:tcW w:type="dxa" w:w="1440"/>
          </w:tcPr>
          <w:p>
            <w:r>
              <w:t>+2.40% sig</w:t>
            </w:r>
          </w:p>
        </w:tc>
        <w:tc>
          <w:tcPr>
            <w:tcW w:type="dxa" w:w="1440"/>
          </w:tcPr>
          <w:p>
            <w:r>
              <w:t>382,160</w:t>
            </w:r>
          </w:p>
        </w:tc>
      </w:tr>
      <w:tr>
        <w:tc>
          <w:tcPr>
            <w:tcW w:type="dxa" w:w="1440"/>
          </w:tcPr>
          <w:p>
            <w:r>
              <w:t>Movie</w:t>
            </w:r>
          </w:p>
        </w:tc>
        <w:tc>
          <w:tcPr>
            <w:tcW w:type="dxa" w:w="1440"/>
          </w:tcPr>
          <w:p>
            <w:r>
              <w:t>v6</w:t>
            </w:r>
          </w:p>
        </w:tc>
        <w:tc>
          <w:tcPr>
            <w:tcW w:type="dxa" w:w="1440"/>
          </w:tcPr>
          <w:p>
            <w:r>
              <w:t>+5.92% [+3.73, +8.11] sig</w:t>
            </w:r>
          </w:p>
        </w:tc>
        <w:tc>
          <w:tcPr>
            <w:tcW w:type="dxa" w:w="1440"/>
          </w:tcPr>
          <w:p>
            <w:r>
              <w:t>+0.03% ns</w:t>
            </w:r>
          </w:p>
        </w:tc>
        <w:tc>
          <w:tcPr>
            <w:tcW w:type="dxa" w:w="1440"/>
          </w:tcPr>
          <w:p>
            <w:r>
              <w:t>+6.28% sig</w:t>
            </w:r>
          </w:p>
        </w:tc>
        <w:tc>
          <w:tcPr>
            <w:tcW w:type="dxa" w:w="1440"/>
          </w:tcPr>
          <w:p>
            <w:r>
              <w:t>380,500</w:t>
            </w:r>
          </w:p>
        </w:tc>
      </w:tr>
      <w:tr>
        <w:tc>
          <w:tcPr>
            <w:tcW w:type="dxa" w:w="1440"/>
          </w:tcPr>
          <w:p>
            <w:r>
              <w:t>Episode</w:t>
            </w:r>
          </w:p>
        </w:tc>
        <w:tc>
          <w:tcPr>
            <w:tcW w:type="dxa" w:w="1440"/>
          </w:tcPr>
          <w:p>
            <w:r>
              <w:t>v4</w:t>
            </w:r>
          </w:p>
        </w:tc>
        <w:tc>
          <w:tcPr>
            <w:tcW w:type="dxa" w:w="1440"/>
          </w:tcPr>
          <w:p>
            <w:r>
              <w:t>−4.00% [−7.13, −0.87] sig</w:t>
            </w:r>
          </w:p>
        </w:tc>
        <w:tc>
          <w:tcPr>
            <w:tcW w:type="dxa" w:w="1440"/>
          </w:tcPr>
          <w:p>
            <w:r>
              <w:t>+0.06% ns</w:t>
            </w:r>
          </w:p>
        </w:tc>
        <w:tc>
          <w:tcPr>
            <w:tcW w:type="dxa" w:w="1440"/>
          </w:tcPr>
          <w:p>
            <w:r>
              <w:t>−4.57% sig</w:t>
            </w:r>
          </w:p>
        </w:tc>
        <w:tc>
          <w:tcPr>
            <w:tcW w:type="dxa" w:w="1440"/>
          </w:tcPr>
          <w:p>
            <w:r>
              <w:t>147,225</w:t>
            </w:r>
          </w:p>
        </w:tc>
      </w:tr>
      <w:tr>
        <w:tc>
          <w:tcPr>
            <w:tcW w:type="dxa" w:w="1440"/>
          </w:tcPr>
          <w:p>
            <w:r>
              <w:t>Episode</w:t>
            </w:r>
          </w:p>
        </w:tc>
        <w:tc>
          <w:tcPr>
            <w:tcW w:type="dxa" w:w="1440"/>
          </w:tcPr>
          <w:p>
            <w:r>
              <w:t>v5b</w:t>
            </w:r>
          </w:p>
        </w:tc>
        <w:tc>
          <w:tcPr>
            <w:tcW w:type="dxa" w:w="1440"/>
          </w:tcPr>
          <w:p>
            <w:r>
              <w:t>+4.72% [+1.47, +7.98] sig</w:t>
            </w:r>
          </w:p>
        </w:tc>
        <w:tc>
          <w:tcPr>
            <w:tcW w:type="dxa" w:w="1440"/>
          </w:tcPr>
          <w:p>
            <w:r>
              <w:t>−0.51% ns</w:t>
            </w:r>
          </w:p>
        </w:tc>
        <w:tc>
          <w:tcPr>
            <w:tcW w:type="dxa" w:w="1440"/>
          </w:tcPr>
          <w:p>
            <w:r>
              <w:t>+4.43% sig</w:t>
            </w:r>
          </w:p>
        </w:tc>
        <w:tc>
          <w:tcPr>
            <w:tcW w:type="dxa" w:w="1440"/>
          </w:tcPr>
          <w:p>
            <w:r>
              <w:t>146,865</w:t>
            </w:r>
          </w:p>
        </w:tc>
      </w:tr>
      <w:tr>
        <w:tc>
          <w:tcPr>
            <w:tcW w:type="dxa" w:w="1440"/>
          </w:tcPr>
          <w:p>
            <w:r>
              <w:t>Episode</w:t>
            </w:r>
          </w:p>
        </w:tc>
        <w:tc>
          <w:tcPr>
            <w:tcW w:type="dxa" w:w="1440"/>
          </w:tcPr>
          <w:p>
            <w:r>
              <w:t>v6</w:t>
            </w:r>
          </w:p>
        </w:tc>
        <w:tc>
          <w:tcPr>
            <w:tcW w:type="dxa" w:w="1440"/>
          </w:tcPr>
          <w:p>
            <w:r>
              <w:t>−4.04% [−7.28, −0.81] sig</w:t>
            </w:r>
          </w:p>
        </w:tc>
        <w:tc>
          <w:tcPr>
            <w:tcW w:type="dxa" w:w="1440"/>
          </w:tcPr>
          <w:p>
            <w:r>
              <w:t>−0.04% ns</w:t>
            </w:r>
          </w:p>
        </w:tc>
        <w:tc>
          <w:tcPr>
            <w:tcW w:type="dxa" w:w="1440"/>
          </w:tcPr>
          <w:p>
            <w:r>
              <w:t>−5.08% sig</w:t>
            </w:r>
          </w:p>
        </w:tc>
        <w:tc>
          <w:tcPr>
            <w:tcW w:type="dxa" w:w="1440"/>
          </w:tcPr>
          <w:p>
            <w:r>
              <w:t>146,090</w:t>
            </w:r>
          </w:p>
        </w:tc>
      </w:tr>
    </w:tbl>
    <w:p/>
    <w:p>
      <w:pPr/>
      <w:r>
        <w:t>Control n: movies 382,288 · episodes 146,997. Episodes split the arms: v5b +4.72% sig, v6 −4.04% sig, v4 −4.00% sig. Movies: v6 +5.92% sig, v5b +2.40% sig, v4 +2.13% ns. TVT flat.</w:t>
      </w:r>
    </w:p>
    <w:p>
      <w:pPr/>
      <w:r>
        <w:rPr>
          <w:b/>
        </w:rPr>
        <w:t>Placement — first-cue timing from the served lists.</w:t>
      </w:r>
      <w:r>
        <w:t xml:space="preserve"> Average first cue point (title-level, served lists — the same catalog-level lists serve every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v5b</w:t>
            </w:r>
          </w:p>
        </w:tc>
        <w:tc>
          <w:tcPr>
            <w:tcW w:type="dxa" w:w="2880"/>
          </w:tcPr>
          <w:p>
            <w:r>
              <w:t>~206s (3.4 min)</w:t>
            </w:r>
          </w:p>
        </w:tc>
        <w:tc>
          <w:tcPr>
            <w:tcW w:type="dxa" w:w="2880"/>
          </w:tcPr>
          <w:p>
            <w:r>
              <w:t>~269s (4.5 min)</w:t>
            </w:r>
          </w:p>
        </w:tc>
      </w:tr>
      <w:tr>
        <w:tc>
          <w:tcPr>
            <w:tcW w:type="dxa" w:w="2880"/>
          </w:tcPr>
          <w:p>
            <w:r>
              <w:t>v6</w:t>
            </w:r>
          </w:p>
        </w:tc>
        <w:tc>
          <w:tcPr>
            <w:tcW w:type="dxa" w:w="2880"/>
          </w:tcPr>
          <w:p>
            <w:r>
              <w:t>~582s (9.7 min)</w:t>
            </w:r>
          </w:p>
        </w:tc>
        <w:tc>
          <w:tcPr>
            <w:tcW w:type="dxa" w:w="2880"/>
          </w:tcPr>
          <w:p>
            <w:r>
              <w:t>~532s (8.9 min)</w:t>
            </w:r>
          </w:p>
        </w:tc>
      </w:tr>
    </w:tbl>
    <w:p/>
    <w:p>
      <w:pPr/>
      <w:r>
        <w:rPr>
          <w:b/>
        </w:rPr>
        <w:t>Gate replay — fireable breaks from the served positions.</w:t>
      </w:r>
      <w:r>
        <w:t xml:space="preserve"> Replay the pod gate (greedy first-eligible) over the ABF2 and served positions, weighted by each title's in-window web TVT. The web ad config is not in the project files, so two gate profiles are shown: A = OTT base gates, and B = the most tolerant OTT ladder step. Observed web midrolls start earlier than OTT (median first episode break ~491s vs ~652s on OTT, measured on a 2026-10-12/13 sample), so B is the closer approximation. Profile B fits the measured per-band impression lifts clearly better (r = 0.49 vs 0.31 across the 15 arm×band cells).</w:t>
      </w:r>
    </w:p>
    <w:p>
      <w:pPr/>
      <w:r>
        <w:t>Profile A — OTT base gates (episodes 420s initial / 600s spacing, movies 900s / 720s).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+125.7%</w:t>
            </w:r>
          </w:p>
        </w:tc>
        <w:tc>
          <w:tcPr>
            <w:tcW w:type="dxa" w:w="1728"/>
          </w:tcPr>
          <w:p>
            <w:r>
              <w:t>+121.7%</w:t>
            </w:r>
          </w:p>
        </w:tc>
        <w:tc>
          <w:tcPr>
            <w:tcW w:type="dxa" w:w="1728"/>
          </w:tcPr>
          <w:p>
            <w:r>
              <w:t>+102.3%</w:t>
            </w:r>
          </w:p>
        </w:tc>
      </w:tr>
      <w:tr>
        <w:tc>
          <w:tcPr>
            <w:tcW w:type="dxa" w:w="1728"/>
          </w:tcPr>
          <w:p>
            <w:r>
              <w:t>Movie</w:t>
            </w:r>
          </w:p>
        </w:tc>
        <w:tc>
          <w:tcPr>
            <w:tcW w:type="dxa" w:w="1728"/>
          </w:tcPr>
          <w:p>
            <w:r>
              <w:t>4–6</w:t>
            </w:r>
          </w:p>
        </w:tc>
        <w:tc>
          <w:tcPr>
            <w:tcW w:type="dxa" w:w="1728"/>
          </w:tcPr>
          <w:p>
            <w:r>
              <w:t>+40.7%</w:t>
            </w:r>
          </w:p>
        </w:tc>
        <w:tc>
          <w:tcPr>
            <w:tcW w:type="dxa" w:w="1728"/>
          </w:tcPr>
          <w:p>
            <w:r>
              <w:t>+25.9%</w:t>
            </w:r>
          </w:p>
        </w:tc>
        <w:tc>
          <w:tcPr>
            <w:tcW w:type="dxa" w:w="1728"/>
          </w:tcPr>
          <w:p>
            <w:r>
              <w:t>+43.4%</w:t>
            </w:r>
          </w:p>
        </w:tc>
      </w:tr>
      <w:tr>
        <w:tc>
          <w:tcPr>
            <w:tcW w:type="dxa" w:w="1728"/>
          </w:tcPr>
          <w:p>
            <w:r>
              <w:t>Movie</w:t>
            </w:r>
          </w:p>
        </w:tc>
        <w:tc>
          <w:tcPr>
            <w:tcW w:type="dxa" w:w="1728"/>
          </w:tcPr>
          <w:p>
            <w:r>
              <w:t>7–9</w:t>
            </w:r>
          </w:p>
        </w:tc>
        <w:tc>
          <w:tcPr>
            <w:tcW w:type="dxa" w:w="1728"/>
          </w:tcPr>
          <w:p>
            <w:r>
              <w:t>+10.1%</w:t>
            </w:r>
          </w:p>
        </w:tc>
        <w:tc>
          <w:tcPr>
            <w:tcW w:type="dxa" w:w="1728"/>
          </w:tcPr>
          <w:p>
            <w:r>
              <w:t>+14.2%</w:t>
            </w:r>
          </w:p>
        </w:tc>
        <w:tc>
          <w:tcPr>
            <w:tcW w:type="dxa" w:w="1728"/>
          </w:tcPr>
          <w:p>
            <w:r>
              <w:t>+14.3%</w:t>
            </w:r>
          </w:p>
        </w:tc>
      </w:tr>
      <w:tr>
        <w:tc>
          <w:tcPr>
            <w:tcW w:type="dxa" w:w="1728"/>
          </w:tcPr>
          <w:p>
            <w:r>
              <w:t>Movie</w:t>
            </w:r>
          </w:p>
        </w:tc>
        <w:tc>
          <w:tcPr>
            <w:tcW w:type="dxa" w:w="1728"/>
          </w:tcPr>
          <w:p>
            <w:r>
              <w:t>10–12</w:t>
            </w:r>
          </w:p>
        </w:tc>
        <w:tc>
          <w:tcPr>
            <w:tcW w:type="dxa" w:w="1728"/>
          </w:tcPr>
          <w:p>
            <w:r>
              <w:t>+2.9%</w:t>
            </w:r>
          </w:p>
        </w:tc>
        <w:tc>
          <w:tcPr>
            <w:tcW w:type="dxa" w:w="1728"/>
          </w:tcPr>
          <w:p>
            <w:r>
              <w:t>+7.5%</w:t>
            </w:r>
          </w:p>
        </w:tc>
        <w:tc>
          <w:tcPr>
            <w:tcW w:type="dxa" w:w="1728"/>
          </w:tcPr>
          <w:p>
            <w:r>
              <w:t>+7.6%</w:t>
            </w:r>
          </w:p>
        </w:tc>
      </w:tr>
      <w:tr>
        <w:tc>
          <w:tcPr>
            <w:tcW w:type="dxa" w:w="1728"/>
          </w:tcPr>
          <w:p>
            <w:r>
              <w:t>Movie</w:t>
            </w:r>
          </w:p>
        </w:tc>
        <w:tc>
          <w:tcPr>
            <w:tcW w:type="dxa" w:w="1728"/>
          </w:tcPr>
          <w:p>
            <w:r>
              <w:t>13+</w:t>
            </w:r>
          </w:p>
        </w:tc>
        <w:tc>
          <w:tcPr>
            <w:tcW w:type="dxa" w:w="1728"/>
          </w:tcPr>
          <w:p>
            <w:r>
              <w:t>−4.2%</w:t>
            </w:r>
          </w:p>
        </w:tc>
        <w:tc>
          <w:tcPr>
            <w:tcW w:type="dxa" w:w="1728"/>
          </w:tcPr>
          <w:p>
            <w:r>
              <w:t>−1.4%</w:t>
            </w:r>
          </w:p>
        </w:tc>
        <w:tc>
          <w:tcPr>
            <w:tcW w:type="dxa" w:w="1728"/>
          </w:tcPr>
          <w:p>
            <w:r>
              <w:t>−0.7%</w:t>
            </w:r>
          </w:p>
        </w:tc>
      </w:tr>
      <w:tr>
        <w:tc>
          <w:tcPr>
            <w:tcW w:type="dxa" w:w="1728"/>
          </w:tcPr>
          <w:p>
            <w:r>
              <w:t>Episode</w:t>
            </w:r>
          </w:p>
        </w:tc>
        <w:tc>
          <w:tcPr>
            <w:tcW w:type="dxa" w:w="1728"/>
          </w:tcPr>
          <w:p>
            <w:r>
              <w:t>1–3</w:t>
            </w:r>
          </w:p>
        </w:tc>
        <w:tc>
          <w:tcPr>
            <w:tcW w:type="dxa" w:w="1728"/>
          </w:tcPr>
          <w:p>
            <w:r>
              <w:t>+6.3%</w:t>
            </w:r>
          </w:p>
        </w:tc>
        <w:tc>
          <w:tcPr>
            <w:tcW w:type="dxa" w:w="1728"/>
          </w:tcPr>
          <w:p>
            <w:r>
              <w:t>+10.1%</w:t>
            </w:r>
          </w:p>
        </w:tc>
        <w:tc>
          <w:tcPr>
            <w:tcW w:type="dxa" w:w="1728"/>
          </w:tcPr>
          <w:p>
            <w:r>
              <w:t>+6.1%</w:t>
            </w:r>
          </w:p>
        </w:tc>
      </w:tr>
      <w:tr>
        <w:tc>
          <w:tcPr>
            <w:tcW w:type="dxa" w:w="1728"/>
          </w:tcPr>
          <w:p>
            <w:r>
              <w:t>Episode</w:t>
            </w:r>
          </w:p>
        </w:tc>
        <w:tc>
          <w:tcPr>
            <w:tcW w:type="dxa" w:w="1728"/>
          </w:tcPr>
          <w:p>
            <w:r>
              <w:t>4–6</w:t>
            </w:r>
          </w:p>
        </w:tc>
        <w:tc>
          <w:tcPr>
            <w:tcW w:type="dxa" w:w="1728"/>
          </w:tcPr>
          <w:p>
            <w:r>
              <w:t>+1.7%</w:t>
            </w:r>
          </w:p>
        </w:tc>
        <w:tc>
          <w:tcPr>
            <w:tcW w:type="dxa" w:w="1728"/>
          </w:tcPr>
          <w:p>
            <w:r>
              <w:t>+6.6%</w:t>
            </w:r>
          </w:p>
        </w:tc>
        <w:tc>
          <w:tcPr>
            <w:tcW w:type="dxa" w:w="1728"/>
          </w:tcPr>
          <w:p>
            <w:r>
              <w:t>+1.8%</w:t>
            </w:r>
          </w:p>
        </w:tc>
      </w:tr>
      <w:tr>
        <w:tc>
          <w:tcPr>
            <w:tcW w:type="dxa" w:w="1728"/>
          </w:tcPr>
          <w:p>
            <w:r>
              <w:t>Episode</w:t>
            </w:r>
          </w:p>
        </w:tc>
        <w:tc>
          <w:tcPr>
            <w:tcW w:type="dxa" w:w="1728"/>
          </w:tcPr>
          <w:p>
            <w:r>
              <w:t>7–9</w:t>
            </w:r>
          </w:p>
        </w:tc>
        <w:tc>
          <w:tcPr>
            <w:tcW w:type="dxa" w:w="1728"/>
          </w:tcPr>
          <w:p>
            <w:r>
              <w:t>−3.0%</w:t>
            </w:r>
          </w:p>
        </w:tc>
        <w:tc>
          <w:tcPr>
            <w:tcW w:type="dxa" w:w="1728"/>
          </w:tcPr>
          <w:p>
            <w:r>
              <w:t>−0.2%</w:t>
            </w:r>
          </w:p>
        </w:tc>
        <w:tc>
          <w:tcPr>
            <w:tcW w:type="dxa" w:w="1728"/>
          </w:tcPr>
          <w:p>
            <w:r>
              <w:t>−3.1%</w:t>
            </w:r>
          </w:p>
        </w:tc>
      </w:tr>
      <w:tr>
        <w:tc>
          <w:tcPr>
            <w:tcW w:type="dxa" w:w="1728"/>
          </w:tcPr>
          <w:p>
            <w:r>
              <w:t>Episode</w:t>
            </w:r>
          </w:p>
        </w:tc>
        <w:tc>
          <w:tcPr>
            <w:tcW w:type="dxa" w:w="1728"/>
          </w:tcPr>
          <w:p>
            <w:r>
              <w:t>10–12</w:t>
            </w:r>
          </w:p>
        </w:tc>
        <w:tc>
          <w:tcPr>
            <w:tcW w:type="dxa" w:w="1728"/>
          </w:tcPr>
          <w:p>
            <w:r>
              <w:t>−3.2%</w:t>
            </w:r>
          </w:p>
        </w:tc>
        <w:tc>
          <w:tcPr>
            <w:tcW w:type="dxa" w:w="1728"/>
          </w:tcPr>
          <w:p>
            <w:r>
              <w:t>−2.7%</w:t>
            </w:r>
          </w:p>
        </w:tc>
        <w:tc>
          <w:tcPr>
            <w:tcW w:type="dxa" w:w="1728"/>
          </w:tcPr>
          <w:p>
            <w:r>
              <w:t>−3.4%</w:t>
            </w:r>
          </w:p>
        </w:tc>
      </w:tr>
      <w:tr>
        <w:tc>
          <w:tcPr>
            <w:tcW w:type="dxa" w:w="1728"/>
          </w:tcPr>
          <w:p>
            <w:r>
              <w:t>Episode</w:t>
            </w:r>
          </w:p>
        </w:tc>
        <w:tc>
          <w:tcPr>
            <w:tcW w:type="dxa" w:w="1728"/>
          </w:tcPr>
          <w:p>
            <w:r>
              <w:t>13+</w:t>
            </w:r>
          </w:p>
        </w:tc>
        <w:tc>
          <w:tcPr>
            <w:tcW w:type="dxa" w:w="1728"/>
          </w:tcPr>
          <w:p>
            <w:r>
              <w:t>−6.2%</w:t>
            </w:r>
          </w:p>
        </w:tc>
        <w:tc>
          <w:tcPr>
            <w:tcW w:type="dxa" w:w="1728"/>
          </w:tcPr>
          <w:p>
            <w:r>
              <w:t>−10.8%</w:t>
            </w:r>
          </w:p>
        </w:tc>
        <w:tc>
          <w:tcPr>
            <w:tcW w:type="dxa" w:w="1728"/>
          </w:tcPr>
          <w:p>
            <w:r>
              <w:t>−6.3%</w:t>
            </w:r>
          </w:p>
        </w:tc>
      </w:tr>
    </w:tbl>
    <w:p/>
    <w:p>
      <w:pPr/>
      <w:r>
        <w:t>Profile B — tolerant gates (episodes 360s / 360s, movies 540s / 420s), closer to the earlier break starts observed on this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+17.4%</w:t>
            </w:r>
          </w:p>
        </w:tc>
        <w:tc>
          <w:tcPr>
            <w:tcW w:type="dxa" w:w="1728"/>
          </w:tcPr>
          <w:p>
            <w:r>
              <w:t>+50.3%</w:t>
            </w:r>
          </w:p>
        </w:tc>
        <w:tc>
          <w:tcPr>
            <w:tcW w:type="dxa" w:w="1728"/>
          </w:tcPr>
          <w:p>
            <w:r>
              <w:t>+17.2%</w:t>
            </w:r>
          </w:p>
        </w:tc>
      </w:tr>
      <w:tr>
        <w:tc>
          <w:tcPr>
            <w:tcW w:type="dxa" w:w="1728"/>
          </w:tcPr>
          <w:p>
            <w:r>
              <w:t>Movie</w:t>
            </w:r>
          </w:p>
        </w:tc>
        <w:tc>
          <w:tcPr>
            <w:tcW w:type="dxa" w:w="1728"/>
          </w:tcPr>
          <w:p>
            <w:r>
              <w:t>4–6</w:t>
            </w:r>
          </w:p>
        </w:tc>
        <w:tc>
          <w:tcPr>
            <w:tcW w:type="dxa" w:w="1728"/>
          </w:tcPr>
          <w:p>
            <w:r>
              <w:t>+25.2%</w:t>
            </w:r>
          </w:p>
        </w:tc>
        <w:tc>
          <w:tcPr>
            <w:tcW w:type="dxa" w:w="1728"/>
          </w:tcPr>
          <w:p>
            <w:r>
              <w:t>+31.4%</w:t>
            </w:r>
          </w:p>
        </w:tc>
        <w:tc>
          <w:tcPr>
            <w:tcW w:type="dxa" w:w="1728"/>
          </w:tcPr>
          <w:p>
            <w:r>
              <w:t>+28.8%</w:t>
            </w:r>
          </w:p>
        </w:tc>
      </w:tr>
      <w:tr>
        <w:tc>
          <w:tcPr>
            <w:tcW w:type="dxa" w:w="1728"/>
          </w:tcPr>
          <w:p>
            <w:r>
              <w:t>Movie</w:t>
            </w:r>
          </w:p>
        </w:tc>
        <w:tc>
          <w:tcPr>
            <w:tcW w:type="dxa" w:w="1728"/>
          </w:tcPr>
          <w:p>
            <w:r>
              <w:t>7–9</w:t>
            </w:r>
          </w:p>
        </w:tc>
        <w:tc>
          <w:tcPr>
            <w:tcW w:type="dxa" w:w="1728"/>
          </w:tcPr>
          <w:p>
            <w:r>
              <w:t>+2.4%</w:t>
            </w:r>
          </w:p>
        </w:tc>
        <w:tc>
          <w:tcPr>
            <w:tcW w:type="dxa" w:w="1728"/>
          </w:tcPr>
          <w:p>
            <w:r>
              <w:t>+10.0%</w:t>
            </w:r>
          </w:p>
        </w:tc>
        <w:tc>
          <w:tcPr>
            <w:tcW w:type="dxa" w:w="1728"/>
          </w:tcPr>
          <w:p>
            <w:r>
              <w:t>+10.0%</w:t>
            </w:r>
          </w:p>
        </w:tc>
      </w:tr>
      <w:tr>
        <w:tc>
          <w:tcPr>
            <w:tcW w:type="dxa" w:w="1728"/>
          </w:tcPr>
          <w:p>
            <w:r>
              <w:t>Movie</w:t>
            </w:r>
          </w:p>
        </w:tc>
        <w:tc>
          <w:tcPr>
            <w:tcW w:type="dxa" w:w="1728"/>
          </w:tcPr>
          <w:p>
            <w:r>
              <w:t>10–12</w:t>
            </w:r>
          </w:p>
        </w:tc>
        <w:tc>
          <w:tcPr>
            <w:tcW w:type="dxa" w:w="1728"/>
          </w:tcPr>
          <w:p>
            <w:r>
              <w:t>−0.1%</w:t>
            </w:r>
          </w:p>
        </w:tc>
        <w:tc>
          <w:tcPr>
            <w:tcW w:type="dxa" w:w="1728"/>
          </w:tcPr>
          <w:p>
            <w:r>
              <w:t>+4.0%</w:t>
            </w:r>
          </w:p>
        </w:tc>
        <w:tc>
          <w:tcPr>
            <w:tcW w:type="dxa" w:w="1728"/>
          </w:tcPr>
          <w:p>
            <w:r>
              <w:t>+6.7%</w:t>
            </w:r>
          </w:p>
        </w:tc>
      </w:tr>
      <w:tr>
        <w:tc>
          <w:tcPr>
            <w:tcW w:type="dxa" w:w="1728"/>
          </w:tcPr>
          <w:p>
            <w:r>
              <w:t>Movie</w:t>
            </w:r>
          </w:p>
        </w:tc>
        <w:tc>
          <w:tcPr>
            <w:tcW w:type="dxa" w:w="1728"/>
          </w:tcPr>
          <w:p>
            <w:r>
              <w:t>13+</w:t>
            </w:r>
          </w:p>
        </w:tc>
        <w:tc>
          <w:tcPr>
            <w:tcW w:type="dxa" w:w="1728"/>
          </w:tcPr>
          <w:p>
            <w:r>
              <w:t>−5.0%</w:t>
            </w:r>
          </w:p>
        </w:tc>
        <w:tc>
          <w:tcPr>
            <w:tcW w:type="dxa" w:w="1728"/>
          </w:tcPr>
          <w:p>
            <w:r>
              <w:t>−1.3%</w:t>
            </w:r>
          </w:p>
        </w:tc>
        <w:tc>
          <w:tcPr>
            <w:tcW w:type="dxa" w:w="1728"/>
          </w:tcPr>
          <w:p>
            <w:r>
              <w:t>+0.2%</w:t>
            </w:r>
          </w:p>
        </w:tc>
      </w:tr>
      <w:tr>
        <w:tc>
          <w:tcPr>
            <w:tcW w:type="dxa" w:w="1728"/>
          </w:tcPr>
          <w:p>
            <w:r>
              <w:t>Episode</w:t>
            </w:r>
          </w:p>
        </w:tc>
        <w:tc>
          <w:tcPr>
            <w:tcW w:type="dxa" w:w="1728"/>
          </w:tcPr>
          <w:p>
            <w:r>
              <w:t>1–3</w:t>
            </w:r>
          </w:p>
        </w:tc>
        <w:tc>
          <w:tcPr>
            <w:tcW w:type="dxa" w:w="1728"/>
          </w:tcPr>
          <w:p>
            <w:r>
              <w:t>+5.9%</w:t>
            </w:r>
          </w:p>
        </w:tc>
        <w:tc>
          <w:tcPr>
            <w:tcW w:type="dxa" w:w="1728"/>
          </w:tcPr>
          <w:p>
            <w:r>
              <w:t>+20.8%</w:t>
            </w:r>
          </w:p>
        </w:tc>
        <w:tc>
          <w:tcPr>
            <w:tcW w:type="dxa" w:w="1728"/>
          </w:tcPr>
          <w:p>
            <w:r>
              <w:t>+5.8%</w:t>
            </w:r>
          </w:p>
        </w:tc>
      </w:tr>
      <w:tr>
        <w:tc>
          <w:tcPr>
            <w:tcW w:type="dxa" w:w="1728"/>
          </w:tcPr>
          <w:p>
            <w:r>
              <w:t>Episode</w:t>
            </w:r>
          </w:p>
        </w:tc>
        <w:tc>
          <w:tcPr>
            <w:tcW w:type="dxa" w:w="1728"/>
          </w:tcPr>
          <w:p>
            <w:r>
              <w:t>4–6</w:t>
            </w:r>
          </w:p>
        </w:tc>
        <w:tc>
          <w:tcPr>
            <w:tcW w:type="dxa" w:w="1728"/>
          </w:tcPr>
          <w:p>
            <w:r>
              <w:t>−1.2%</w:t>
            </w:r>
          </w:p>
        </w:tc>
        <w:tc>
          <w:tcPr>
            <w:tcW w:type="dxa" w:w="1728"/>
          </w:tcPr>
          <w:p>
            <w:r>
              <w:t>+11.6%</w:t>
            </w:r>
          </w:p>
        </w:tc>
        <w:tc>
          <w:tcPr>
            <w:tcW w:type="dxa" w:w="1728"/>
          </w:tcPr>
          <w:p>
            <w:r>
              <w:t>−1.1%</w:t>
            </w:r>
          </w:p>
        </w:tc>
      </w:tr>
      <w:tr>
        <w:tc>
          <w:tcPr>
            <w:tcW w:type="dxa" w:w="1728"/>
          </w:tcPr>
          <w:p>
            <w:r>
              <w:t>Episode</w:t>
            </w:r>
          </w:p>
        </w:tc>
        <w:tc>
          <w:tcPr>
            <w:tcW w:type="dxa" w:w="1728"/>
          </w:tcPr>
          <w:p>
            <w:r>
              <w:t>7–9</w:t>
            </w:r>
          </w:p>
        </w:tc>
        <w:tc>
          <w:tcPr>
            <w:tcW w:type="dxa" w:w="1728"/>
          </w:tcPr>
          <w:p>
            <w:r>
              <w:t>−1.5%</w:t>
            </w:r>
          </w:p>
        </w:tc>
        <w:tc>
          <w:tcPr>
            <w:tcW w:type="dxa" w:w="1728"/>
          </w:tcPr>
          <w:p>
            <w:r>
              <w:t>+11.1%</w:t>
            </w:r>
          </w:p>
        </w:tc>
        <w:tc>
          <w:tcPr>
            <w:tcW w:type="dxa" w:w="1728"/>
          </w:tcPr>
          <w:p>
            <w:r>
              <w:t>−1.5%</w:t>
            </w:r>
          </w:p>
        </w:tc>
      </w:tr>
      <w:tr>
        <w:tc>
          <w:tcPr>
            <w:tcW w:type="dxa" w:w="1728"/>
          </w:tcPr>
          <w:p>
            <w:r>
              <w:t>Episode</w:t>
            </w:r>
          </w:p>
        </w:tc>
        <w:tc>
          <w:tcPr>
            <w:tcW w:type="dxa" w:w="1728"/>
          </w:tcPr>
          <w:p>
            <w:r>
              <w:t>10–12</w:t>
            </w:r>
          </w:p>
        </w:tc>
        <w:tc>
          <w:tcPr>
            <w:tcW w:type="dxa" w:w="1728"/>
          </w:tcPr>
          <w:p>
            <w:r>
              <w:t>−3.0%</w:t>
            </w:r>
          </w:p>
        </w:tc>
        <w:tc>
          <w:tcPr>
            <w:tcW w:type="dxa" w:w="1728"/>
          </w:tcPr>
          <w:p>
            <w:r>
              <w:t>+4.5%</w:t>
            </w:r>
          </w:p>
        </w:tc>
        <w:tc>
          <w:tcPr>
            <w:tcW w:type="dxa" w:w="1728"/>
          </w:tcPr>
          <w:p>
            <w:r>
              <w:t>−3.0%</w:t>
            </w:r>
          </w:p>
        </w:tc>
      </w:tr>
      <w:tr>
        <w:tc>
          <w:tcPr>
            <w:tcW w:type="dxa" w:w="1728"/>
          </w:tcPr>
          <w:p>
            <w:r>
              <w:t>Episode</w:t>
            </w:r>
          </w:p>
        </w:tc>
        <w:tc>
          <w:tcPr>
            <w:tcW w:type="dxa" w:w="1728"/>
          </w:tcPr>
          <w:p>
            <w:r>
              <w:t>13+</w:t>
            </w:r>
          </w:p>
        </w:tc>
        <w:tc>
          <w:tcPr>
            <w:tcW w:type="dxa" w:w="1728"/>
          </w:tcPr>
          <w:p>
            <w:r>
              <w:t>−4.6%</w:t>
            </w:r>
          </w:p>
        </w:tc>
        <w:tc>
          <w:tcPr>
            <w:tcW w:type="dxa" w:w="1728"/>
          </w:tcPr>
          <w:p>
            <w:r>
              <w:t>+5.6%</w:t>
            </w:r>
          </w:p>
        </w:tc>
        <w:tc>
          <w:tcPr>
            <w:tcW w:type="dxa" w:w="1728"/>
          </w:tcPr>
          <w:p>
            <w:r>
              <w:t>−4.7%</w:t>
            </w:r>
          </w:p>
        </w:tc>
      </w:tr>
    </w:tbl>
    <w:p/>
    <w:p>
      <w:pPr/>
      <w:r>
        <w:t>Under the tolerant profile v5b fires more episode breaks in every band (+4.5% to +20.8%) and v4/v6 fire fewer from 4–6 up (v4 −1.2% at 4–6 to −4.6% at 13+) — the measured episode split. Web episode viewing is shallower than OTT (81.2% of ABF2 episode views reach ~6.3 min, 78.6% reach ~9.7 min; OTT 91.4% / 89.7%), which likely adds to v4/v6's late-first-cue penalty on sparse episodes.</w:t>
      </w:r>
    </w:p>
    <w:p>
      <w:pPr/>
      <w: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Gate profile</w:t>
            </w:r>
          </w:p>
        </w:tc>
        <w:tc>
          <w:tcPr>
            <w:tcW w:type="dxa" w:w="1440"/>
          </w:tcPr>
          <w:p>
            <w:r>
              <w:t>Arm</w:t>
            </w:r>
          </w:p>
        </w:tc>
        <w:tc>
          <w:tcPr>
            <w:tcW w:type="dxa" w:w="1440"/>
          </w:tcPr>
          <w:p>
            <w:r>
              <w:t>Total episode simΔ</w:t>
            </w:r>
          </w:p>
        </w:tc>
        <w:tc>
          <w:tcPr>
            <w:tcW w:type="dxa" w:w="1440"/>
          </w:tcPr>
          <w:p>
            <w:r>
              <w:t>from fewer cue points</w:t>
            </w:r>
          </w:p>
        </w:tc>
        <w:tc>
          <w:tcPr>
            <w:tcW w:type="dxa" w:w="1440"/>
          </w:tcPr>
          <w:p>
            <w:r>
              <w:t>from placement</w:t>
            </w:r>
          </w:p>
        </w:tc>
        <w:tc>
          <w:tcPr>
            <w:tcW w:type="dxa" w:w="1440"/>
          </w:tcPr>
          <w:p>
            <w:r>
              <w:t>from gains</w:t>
            </w:r>
          </w:p>
        </w:tc>
      </w:tr>
      <w:tr>
        <w:tc>
          <w:tcPr>
            <w:tcW w:type="dxa" w:w="1440"/>
          </w:tcPr>
          <w:p>
            <w:r>
              <w:t>A (OTT base)</w:t>
            </w:r>
          </w:p>
        </w:tc>
        <w:tc>
          <w:tcPr>
            <w:tcW w:type="dxa" w:w="1440"/>
          </w:tcPr>
          <w:p>
            <w:r>
              <w:t>v4</w:t>
            </w:r>
          </w:p>
        </w:tc>
        <w:tc>
          <w:tcPr>
            <w:tcW w:type="dxa" w:w="1440"/>
          </w:tcPr>
          <w:p>
            <w:r>
              <w:t>+1.0%</w:t>
            </w:r>
          </w:p>
        </w:tc>
        <w:tc>
          <w:tcPr>
            <w:tcW w:type="dxa" w:w="1440"/>
          </w:tcPr>
          <w:p>
            <w:r>
              <w:t>−3.7%</w:t>
            </w:r>
          </w:p>
        </w:tc>
        <w:tc>
          <w:tcPr>
            <w:tcW w:type="dxa" w:w="1440"/>
          </w:tcPr>
          <w:p>
            <w:r>
              <w:t>−1.2%</w:t>
            </w:r>
          </w:p>
        </w:tc>
        <w:tc>
          <w:tcPr>
            <w:tcW w:type="dxa" w:w="1440"/>
          </w:tcPr>
          <w:p>
            <w:r>
              <w:t>+5.9%</w:t>
            </w:r>
          </w:p>
        </w:tc>
      </w:tr>
      <w:tr>
        <w:tc>
          <w:tcPr>
            <w:tcW w:type="dxa" w:w="1440"/>
          </w:tcPr>
          <w:p>
            <w:r>
              <w:t>A (OTT base)</w:t>
            </w:r>
          </w:p>
        </w:tc>
        <w:tc>
          <w:tcPr>
            <w:tcW w:type="dxa" w:w="1440"/>
          </w:tcPr>
          <w:p>
            <w:r>
              <w:t>v5b</w:t>
            </w:r>
          </w:p>
        </w:tc>
        <w:tc>
          <w:tcPr>
            <w:tcW w:type="dxa" w:w="1440"/>
          </w:tcPr>
          <w:p>
            <w:r>
              <w:t>+4.5%</w:t>
            </w:r>
          </w:p>
        </w:tc>
        <w:tc>
          <w:tcPr>
            <w:tcW w:type="dxa" w:w="1440"/>
          </w:tcPr>
          <w:p>
            <w:r>
              <w:t>−1.1%</w:t>
            </w:r>
          </w:p>
        </w:tc>
        <w:tc>
          <w:tcPr>
            <w:tcW w:type="dxa" w:w="1440"/>
          </w:tcPr>
          <w:p>
            <w:r>
              <w:t>−2.1%</w:t>
            </w:r>
          </w:p>
        </w:tc>
        <w:tc>
          <w:tcPr>
            <w:tcW w:type="dxa" w:w="1440"/>
          </w:tcPr>
          <w:p>
            <w:r>
              <w:t>+7.8%</w:t>
            </w:r>
          </w:p>
        </w:tc>
      </w:tr>
      <w:tr>
        <w:tc>
          <w:tcPr>
            <w:tcW w:type="dxa" w:w="1440"/>
          </w:tcPr>
          <w:p>
            <w:r>
              <w:t>A (OTT base)</w:t>
            </w:r>
          </w:p>
        </w:tc>
        <w:tc>
          <w:tcPr>
            <w:tcW w:type="dxa" w:w="1440"/>
          </w:tcPr>
          <w:p>
            <w:r>
              <w:t>v6</w:t>
            </w:r>
          </w:p>
        </w:tc>
        <w:tc>
          <w:tcPr>
            <w:tcW w:type="dxa" w:w="1440"/>
          </w:tcPr>
          <w:p>
            <w:r>
              <w:t>+0.9%</w:t>
            </w:r>
          </w:p>
        </w:tc>
        <w:tc>
          <w:tcPr>
            <w:tcW w:type="dxa" w:w="1440"/>
          </w:tcPr>
          <w:p>
            <w:r>
              <w:t>−3.7%</w:t>
            </w:r>
          </w:p>
        </w:tc>
        <w:tc>
          <w:tcPr>
            <w:tcW w:type="dxa" w:w="1440"/>
          </w:tcPr>
          <w:p>
            <w:r>
              <w:t>−1.1%</w:t>
            </w:r>
          </w:p>
        </w:tc>
        <w:tc>
          <w:tcPr>
            <w:tcW w:type="dxa" w:w="1440"/>
          </w:tcPr>
          <w:p>
            <w:r>
              <w:t>+5.8%</w:t>
            </w:r>
          </w:p>
        </w:tc>
      </w:tr>
      <w:tr>
        <w:tc>
          <w:tcPr>
            <w:tcW w:type="dxa" w:w="1440"/>
          </w:tcPr>
          <w:p>
            <w:r>
              <w:t>B (tolerant)</w:t>
            </w:r>
          </w:p>
        </w:tc>
        <w:tc>
          <w:tcPr>
            <w:tcW w:type="dxa" w:w="1440"/>
          </w:tcPr>
          <w:p>
            <w:r>
              <w:t>v4</w:t>
            </w:r>
          </w:p>
        </w:tc>
        <w:tc>
          <w:tcPr>
            <w:tcW w:type="dxa" w:w="1440"/>
          </w:tcPr>
          <w:p>
            <w:r>
              <w:t>+0.2%</w:t>
            </w:r>
          </w:p>
        </w:tc>
        <w:tc>
          <w:tcPr>
            <w:tcW w:type="dxa" w:w="1440"/>
          </w:tcPr>
          <w:p>
            <w:r>
              <w:t>−3.7%</w:t>
            </w:r>
          </w:p>
        </w:tc>
        <w:tc>
          <w:tcPr>
            <w:tcW w:type="dxa" w:w="1440"/>
          </w:tcPr>
          <w:p>
            <w:r>
              <w:t>−2.1%</w:t>
            </w:r>
          </w:p>
        </w:tc>
        <w:tc>
          <w:tcPr>
            <w:tcW w:type="dxa" w:w="1440"/>
          </w:tcPr>
          <w:p>
            <w:r>
              <w:t>+6.0%</w:t>
            </w:r>
          </w:p>
        </w:tc>
      </w:tr>
      <w:tr>
        <w:tc>
          <w:tcPr>
            <w:tcW w:type="dxa" w:w="1440"/>
          </w:tcPr>
          <w:p>
            <w:r>
              <w:t>B (tolerant)</w:t>
            </w:r>
          </w:p>
        </w:tc>
        <w:tc>
          <w:tcPr>
            <w:tcW w:type="dxa" w:w="1440"/>
          </w:tcPr>
          <w:p>
            <w:r>
              <w:t>v5b</w:t>
            </w:r>
          </w:p>
        </w:tc>
        <w:tc>
          <w:tcPr>
            <w:tcW w:type="dxa" w:w="1440"/>
          </w:tcPr>
          <w:p>
            <w:r>
              <w:t>+13.1%</w:t>
            </w:r>
          </w:p>
        </w:tc>
        <w:tc>
          <w:tcPr>
            <w:tcW w:type="dxa" w:w="1440"/>
          </w:tcPr>
          <w:p>
            <w:r>
              <w:t>+2.6%</w:t>
            </w:r>
          </w:p>
        </w:tc>
        <w:tc>
          <w:tcPr>
            <w:tcW w:type="dxa" w:w="1440"/>
          </w:tcPr>
          <w:p>
            <w:r>
              <w:t>−1.9%</w:t>
            </w:r>
          </w:p>
        </w:tc>
        <w:tc>
          <w:tcPr>
            <w:tcW w:type="dxa" w:w="1440"/>
          </w:tcPr>
          <w:p>
            <w:r>
              <w:t>+12.3%</w:t>
            </w:r>
          </w:p>
        </w:tc>
      </w:tr>
      <w:tr>
        <w:tc>
          <w:tcPr>
            <w:tcW w:type="dxa" w:w="1440"/>
          </w:tcPr>
          <w:p>
            <w:r>
              <w:t>B (tolerant)</w:t>
            </w:r>
          </w:p>
        </w:tc>
        <w:tc>
          <w:tcPr>
            <w:tcW w:type="dxa" w:w="1440"/>
          </w:tcPr>
          <w:p>
            <w:r>
              <w:t>v6</w:t>
            </w:r>
          </w:p>
        </w:tc>
        <w:tc>
          <w:tcPr>
            <w:tcW w:type="dxa" w:w="1440"/>
          </w:tcPr>
          <w:p>
            <w:r>
              <w:t>+0.2%</w:t>
            </w:r>
          </w:p>
        </w:tc>
        <w:tc>
          <w:tcPr>
            <w:tcW w:type="dxa" w:w="1440"/>
          </w:tcPr>
          <w:p>
            <w:r>
              <w:t>−3.7%</w:t>
            </w:r>
          </w:p>
        </w:tc>
        <w:tc>
          <w:tcPr>
            <w:tcW w:type="dxa" w:w="1440"/>
          </w:tcPr>
          <w:p>
            <w:r>
              <w:t>−2.1%</w:t>
            </w:r>
          </w:p>
        </w:tc>
        <w:tc>
          <w:tcPr>
            <w:tcW w:type="dxa" w:w="1440"/>
          </w:tcPr>
          <w:p>
            <w:r>
              <w:t>+6.0%</w:t>
            </w:r>
          </w:p>
        </w:tc>
      </w:tr>
    </w:tbl>
    <w:p/>
    <w:p>
      <w:pPr/>
      <w:r>
        <w:t>For v4/v6 the episode losses come mostly from fewer cue points under both profiles → the per-title floor is the lever. For v5b the tolerant profile makes the count term positive: ABF2-density lists fire more breaks when gates are looser.</w:t>
      </w:r>
    </w:p>
    <w:p>
      <w:pPr>
        <w:pStyle w:val="Heading1"/>
      </w:pPr>
      <w:r>
        <w:t>3. Decision frame</w:t>
      </w:r>
    </w:p>
    <w:p>
      <w:pPr/>
      <w:r>
        <w:t>Early read, same window as OTT. Web is the smallest and noisiest surface; treat everything except v5b's gain and v4's loss as directional.</w:t>
      </w:r>
    </w:p>
    <w:p>
      <w:pPr>
        <w:pStyle w:val="ListBullet"/>
      </w:pPr>
      <w:r>
        <w:rPr>
          <w:b/>
        </w:rPr>
        <w:t>v5b leads on web too.</w:t>
      </w:r>
      <w:r>
        <w:t xml:space="preserve"> Total revenue +1.853% sig, open-auction +2.298% sig, on-title +4.123% sig, TVT flat. It is the only arm with a significant total-revenue gain on all three platforms (on mobile with a small TVT dip).</w:t>
      </w:r>
    </w:p>
    <w:p>
      <w:pPr>
        <w:pStyle w:val="ListBullet"/>
      </w:pPr>
      <w:r>
        <w:rPr>
          <w:b/>
        </w:rPr>
        <w:t>v4 should not ship to web.</w:t>
      </w:r>
      <w:r>
        <w:t xml:space="preserve"> Total revenue −1.635% sig, driven by budgeted demand (−1.598% sig).</w:t>
      </w:r>
    </w:p>
    <w:p>
      <w:pPr>
        <w:pStyle w:val="ListBullet"/>
      </w:pPr>
      <w:r>
        <w:rPr>
          <w:b/>
        </w:rPr>
        <w:t>v6 is neutral on web.</w:t>
      </w:r>
      <w:r>
        <w:t xml:space="preserve"> Total revenue −0.329% ns; its movie gain (+5.92% sig) is offset by the episode loss (−4.04% sig).</w:t>
      </w:r>
    </w:p>
    <w:p>
      <w:pPr>
        <w:pStyle w:val="ListBullet"/>
      </w:pPr>
      <w:r>
        <w:rPr>
          <w:b/>
        </w:rPr>
        <w:t>Open items.</w:t>
      </w:r>
      <w:r>
        <w:t xml:space="preserve"> Get the web ad config to replace the approximate gate profiles; a longer window is needed for the band and below-control cells.</w:t>
      </w:r>
    </w:p>
    <w:p>
      <w:pPr>
        <w:pStyle w:val="Heading1"/>
      </w:pPr>
      <w:r>
        <w:t>Appendix B — served cue points</w:t>
      </w:r>
    </w:p>
    <w:p>
      <w:pPr>
        <w:pStyle w:val="Heading2"/>
      </w:pPr>
      <w:r>
        <w:t>B.4 Cue points per hour versus ABF2</w:t>
      </w:r>
    </w:p>
    <w:p>
      <w:pPr/>
      <w:r>
        <w:t>From the served counts and durations in `ml_dev.tmp.abf3_new_pruner_cuepoints` (catalog-level; identical on every platform).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pPr>
        <w:pStyle w:val="Heading2"/>
      </w:pPr>
      <w:r>
        <w:t>B.5 Revenue-pool diagnostic — is the budgeted lift incremental?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−1.601% sig</w:t>
            </w:r>
          </w:p>
        </w:tc>
        <w:tc>
          <w:tcPr>
            <w:tcW w:type="dxa" w:w="2880"/>
          </w:tcPr>
          <w:p>
            <w:r>
              <w:t>−1.071% ns</w:t>
            </w:r>
          </w:p>
        </w:tc>
      </w:tr>
      <w:tr>
        <w:tc>
          <w:tcPr>
            <w:tcW w:type="dxa" w:w="2880"/>
          </w:tcPr>
          <w:p>
            <w:r>
              <w:t>v5b</w:t>
            </w:r>
          </w:p>
        </w:tc>
        <w:tc>
          <w:tcPr>
            <w:tcW w:type="dxa" w:w="2880"/>
          </w:tcPr>
          <w:p>
            <w:r>
              <w:t>+1.973% sig</w:t>
            </w:r>
          </w:p>
        </w:tc>
        <w:tc>
          <w:tcPr>
            <w:tcW w:type="dxa" w:w="2880"/>
          </w:tcPr>
          <w:p>
            <w:r>
              <w:t>+2.596% sig</w:t>
            </w:r>
          </w:p>
        </w:tc>
      </w:tr>
      <w:tr>
        <w:tc>
          <w:tcPr>
            <w:tcW w:type="dxa" w:w="2880"/>
          </w:tcPr>
          <w:p>
            <w:r>
              <w:t>v6</w:t>
            </w:r>
          </w:p>
        </w:tc>
        <w:tc>
          <w:tcPr>
            <w:tcW w:type="dxa" w:w="2880"/>
          </w:tcPr>
          <w:p>
            <w:r>
              <w:t>−0.171% ns</w:t>
            </w:r>
          </w:p>
        </w:tc>
        <w:tc>
          <w:tcPr>
            <w:tcW w:type="dxa" w:w="2880"/>
          </w:tcPr>
          <w:p>
            <w:r>
              <w:t>+0.348% ns</w:t>
            </w:r>
          </w:p>
        </w:tc>
      </w:tr>
    </w:tbl>
    <w:p/>
    <w:p>
      <w:pPr/>
      <w:r>
        <w:t>For v5b both pools rise (budgeted +1.973% sig, unbudgeted +2.596% sig): new inventory filled by both demand types, a clean incrementality signal. v4's budgeted impressions fall (−1.601% sig).</w:t>
      </w:r>
    </w:p>
    <w:p>
      <w:pPr>
        <w:pStyle w:val="Heading1"/>
      </w:pPr>
      <w:r>
        <w:t>Appendix C — Methods</w:t>
      </w:r>
    </w:p>
    <w:p>
      <w:pPr>
        <w:pStyle w:val="ListBullet"/>
      </w:pPr>
      <w:r>
        <w:rPr>
          <w:b/>
        </w:rPr>
        <w:t>Assignment.</w:t>
      </w:r>
      <w:r>
        <w:t xml:space="preserve"> One variant per device from `core_dev.statsig.exposures` for `ads_web_abf_3_v10_abf2_titles_only`; no device has more than one variant. Outcomes require event time at/after first exposure.</w:t>
      </w:r>
    </w:p>
    <w:p>
      <w:pPr>
        <w:pStyle w:val="ListBullet"/>
      </w:pPr>
      <w:r>
        <w:rPr>
          <w:b/>
        </w:rPr>
        <w:t>Window.</w:t>
      </w:r>
      <w:r>
        <w:t xml:space="preserve"> Outcomes 2026-10-09 through 2026-10-19, capped at 2026-10-20 00:00 UTC. CUPED covariate 2026-09-25 → 2026-10-08. Active = ≥1 video session since first exposure in-window. ToT = ≥1 second of TVT on a targeted title (the 224,739 titles in `ml_dev.tmp.abf3_v10_targeted_titles`) in-window.</w:t>
      </w:r>
    </w:p>
    <w:p>
      <w:pPr>
        <w:pStyle w:val="ListBullet"/>
      </w:pPr>
      <w:r>
        <w:rPr>
          <w:b/>
        </w:rPr>
        <w:t>Title set, metrics, estimator.</w:t>
      </w:r>
      <w:r>
        <w:t xml:space="preserve"> Identical to the OTT report. On-title, ToT, band, type and below-control tables use the 224,739 targeted titles (`ml_dev.tmp.abf3_v10_targeted_titles`: ABF2-catalog titles — movie/episode streams with non-empty `cue_points_abf`, excluding `abf3_pruned_v8` and the v8 title table — that were served v10 cue points); the other ~74.5k catalog titles carry identical cues in every arm and are excluded (versions before 2026-10-20 included them and understated on-title and band lifts); total / budgeted / unbudgeted revenue from `core_prod.ads.impressions` × `mercurydb_cdc.campaigns` with the v8 advertiser exclusions; device-level CUPED with pooled theta per population, Welch 95% (z = 1.96). Band/type/below-control tables are raw Welch.</w:t>
      </w:r>
    </w:p>
    <w:p>
      <w:pPr>
        <w:pStyle w:val="ListBullet"/>
      </w:pPr>
      <w:r>
        <w:rPr>
          <w:b/>
        </w:rPr>
        <w:t>Gate replay.</w:t>
      </w:r>
      <w:r>
        <w:t xml:space="preserve"> Same simulation as OTT, re-run as a SQL port of `v10_gate_replay.py` (`gate_replay_all.sql`; validated against the 10-15 notebook run), TVT weights from in-window video sessions on this platform. Gate values are approximations — see §2c.</w:t>
      </w:r>
    </w:p>
    <w:p>
      <w:pPr>
        <w:pStyle w:val="ListBullet"/>
      </w:pPr>
      <w:r>
        <w:rPr>
          <w:b/>
        </w:rPr>
        <w:t>Served cue lists.</w:t>
      </w:r>
      <w:r>
        <w:t xml:space="preserve"> `ml_dev.tmp.abf3_new_pruner_cuepoints` (snapshot 2026-10-08; T1 = v4, T2 = v6, T3 = v5b; the table now also holds extra arms that are not part of v10 and were excluded) — catalog-level, so §B.4 and the first-cue table match the OTT report.</w:t>
      </w:r>
    </w:p>
    <w:p>
      <w:pPr>
        <w:pStyle w:val="ListBullet"/>
      </w:pPr>
      <w:r>
        <w:rPr>
          <w:b/>
        </w:rPr>
        <w:t>Code.</w:t>
      </w:r>
      <w:r>
        <w:t xml:space="preserve"> Queries and scripts in `abf-experiment/v10_verification/` (refresh outputs in `results_20261020/`).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