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pi895dicvqp" w:id="0"/>
      <w:bookmarkEnd w:id="0"/>
      <w:r w:rsidDel="00000000" w:rsidR="00000000" w:rsidRPr="00000000">
        <w:rPr>
          <w:rtl w:val="0"/>
        </w:rPr>
        <w:t xml:space="preserve">ABF3 v8 — Full ABF1 Catalog Results (WEB)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ads_web_abf_3_v8</w:t>
      </w:r>
      <w:r w:rsidDel="00000000" w:rsidR="00000000" w:rsidRPr="00000000">
        <w:rPr>
          <w:rtl w:val="0"/>
        </w:rPr>
        <w:t xml:space="preserve"> · device-randomized 50/50 · launched 2026-07-23 · </w:t>
      </w:r>
      <w:r w:rsidDel="00000000" w:rsidR="00000000" w:rsidRPr="00000000">
        <w:rPr>
          <w:b w:val="1"/>
          <w:bCs w:val="1"/>
          <w:rtl w:val="0"/>
        </w:rPr>
        <w:t xml:space="preserve">top-up of 38,116 titles added 2026-08-11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treated set = </w:t>
      </w:r>
      <w:r w:rsidDel="00000000" w:rsidR="00000000" w:rsidRPr="00000000">
        <w:rPr>
          <w:b w:val="1"/>
          <w:bCs w:val="1"/>
          <w:rtl w:val="0"/>
        </w:rPr>
        <w:t xml:space="preserve">192,464 ABF1 titles</w:t>
      </w:r>
      <w:r w:rsidDel="00000000" w:rsidR="00000000" w:rsidRPr="00000000">
        <w:rPr>
          <w:rtl w:val="0"/>
        </w:rPr>
        <w:t xml:space="preserve"> (title-level serving change, shared across platforms). </w:t>
      </w:r>
      <w:r w:rsidDel="00000000" w:rsidR="00000000" w:rsidRPr="00000000">
        <w:rPr>
          <w:b w:val="1"/>
          <w:bCs w:val="1"/>
          <w:rtl w:val="0"/>
        </w:rPr>
        <w:t xml:space="preserve">Main analysis window (this report):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2026-08-12 → 2026-08-20</w:t>
      </w:r>
      <w:r w:rsidDel="00000000" w:rsidR="00000000" w:rsidRPr="00000000">
        <w:rPr>
          <w:rtl w:val="0"/>
        </w:rPr>
        <w:t xml:space="preserve"> (post-top-up, 9 complete days). Pre-add "Window A" and A/B comparisons in the appendices. Companion reports: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OTT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Mobile</w:t>
        </w:r>
      </w:hyperlink>
      <w:r w:rsidDel="00000000" w:rsidR="00000000" w:rsidRPr="00000000">
        <w:rPr>
          <w:rtl w:val="0"/>
        </w:rPr>
        <w:t xml:space="preserve"> (same structure). </w:t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device-level CUPED (clean pre-period 2026-07-09 → 07-22), Welch CIs; populations ITT / Active / ToT (Appendix C). Report date 2026-08-21.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gcvqcz9fova" w:id="1"/>
      <w:bookmarkEnd w:id="1"/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Web's topline is statistically significant for the first time in the ABF3 program: TOTAL web revenue +3.21%, TOTAL web TVT flat-to-positive</w:t>
      </w:r>
      <w:r w:rsidDel="00000000" w:rsidR="00000000" w:rsidRPr="00000000">
        <w:rPr>
          <w:rtl w:val="0"/>
        </w:rPr>
        <w:t xml:space="preserve"> — across all devices and ALL titles, measured at catalog scale.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(all-titles)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(all-titles) TVT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v8 MEASURED (global topline, ITT)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+3.205%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[+2.231, +4.179] p=1e-10 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+0.319% [−0.440, +1.078] ns (flat/positive)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Projected from the v7 sample XP (matching pruner config)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+1.38% [−0.74, +3.51]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never significant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 noisy to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Projected from the v6 sample XP (lighter pruner)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+4.68% [+2.73, +6.63]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flat-to-positive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over-delivers the v7 projection ~2.3×, and the chronic web power problem is solved by scale:</w:t>
      </w:r>
      <w:r w:rsidDel="00000000" w:rsidR="00000000" w:rsidRPr="00000000">
        <w:rPr>
          <w:rtl w:val="0"/>
        </w:rPr>
        <w:t xml:space="preserve"> the sample era's web topline never cleared zero (small treated share × small platform); at ~37% treated revenue coverage and a 9-day window it is decisively significant. No measurable TVT cost in any window, band, or population — consistent with v6/v7 web.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Robust to population definition: ITT +3.21%, Active +2.30%, ToT +2.51% revenue — all significant; TVT ns on all three. (Web population lenses diverge more than other platforms because web device_ids are cookie-based and churn heavily — see caveats.)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check on web:</w:t>
      </w:r>
      <w:r w:rsidDel="00000000" w:rsidR="00000000" w:rsidRPr="00000000">
        <w:rPr>
          <w:rtl w:val="0"/>
        </w:rPr>
        <w:t xml:space="preserve"> the below-control dense over-prune </w:t>
      </w:r>
      <w:r w:rsidDel="00000000" w:rsidR="00000000" w:rsidRPr="00000000">
        <w:rPr>
          <w:b w:val="1"/>
          <w:bCs w:val="1"/>
          <w:rtl w:val="0"/>
        </w:rPr>
        <w:t xml:space="preserve">replicates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(13+ below-control −9.7% vs at/above +1.5%; 10–12: −8.4% vs +0.7%) — the per-title floor fix is validated on web too. The series pattern is intermediate: series positive in sparse/mid bands (1–3: +7.6%, 4–6: +6.3%, 7–9: +3.8%), negative in dense bands (13+ series: −20.1%, largely the below-control count defect).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Caveats: 9-day post-add read; web is the noisiest platform (CIs ~5× OTT's); cookie-based device churn inflates ITT n (35.8M/arm) and dilutes per-device signal; ~11% of web-exposed devices' watch happens on mobile surfaces (FIRETABLET/ANDROID_SAMSUNG — v7 finding, not re-corrected here, consistent with v6/v7 methodology).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f7c0k7o10rk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Headline (Window B: 08-12 → 08-20)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Global (all titles, all exposed devices):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35.79M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+3.205%</w:t>
            </w:r>
            <w:r w:rsidDel="00000000" w:rsidR="00000000" w:rsidRPr="00000000">
              <w:rPr>
                <w:rtl w:val="0"/>
              </w:rPr>
              <w:t xml:space="preserve"> [+2.231, +4.179] p=1e-10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+0.319% [−0.440, +1.078] p=0.41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Active (≥1 session since exposure)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+2.295% [+1.366, +3.223] p=1e-06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+0.263% p=0.49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+2.505% [+1.565, +3.445] p=2e-07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+0.192% p=0.62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On-title (treated titles):</w:t>
      </w:r>
      <w:r w:rsidDel="00000000" w:rsidR="00000000" w:rsidRPr="00000000">
        <w:rPr>
          <w:rtl w:val="0"/>
        </w:rPr>
        <w:t xml:space="preserve"> ITT </w:t>
      </w:r>
      <w:r w:rsidDel="00000000" w:rsidR="00000000" w:rsidRPr="00000000">
        <w:rPr>
          <w:b w:val="1"/>
          <w:bCs w:val="1"/>
          <w:rtl w:val="0"/>
        </w:rPr>
        <w:t xml:space="preserve">+6.057%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[+4.850, +7.264] p=8e-23 revenue / +0.130% TVT p=0.78; ToT +4.201% [+3.119, +5.282] p=3e-14 / −0.321% p=0.45. Impressions: global ITT +3.416% p=6e-13; on-title ITT +6.594% p=2e-28.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NPV_TVT — non-power-viewer TVT (Statsig metric), Window B:</w:t>
      </w:r>
      <w:r w:rsidDel="00000000" w:rsidR="00000000" w:rsidRPr="00000000">
        <w:rPr>
          <w:rtl w:val="0"/>
        </w:rPr>
        <w:t xml:space="preserve"> power flag from the latest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device_okr_daily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snapshot on/before first exposure (≥8 visit-days last-28d AND &gt;4 hrs/visit-day; absent = non-power); share balanced (0.081% both arms).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NPV_TVT +0.188% [−0.599, +0.974] p=0.64 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(35.76M/arm); power viewers +0.762% [−0.966, +2.490] p=0.39 (29K/arm). Note: power viewers are nearly nonexistent on web (cookie churn prevents 28-day history), so NPV_TVT ≈ the all-device TVT.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7li8qv9a6j9q" w:id="3"/>
      <w:bookmarkEnd w:id="3"/>
      <w:r w:rsidDel="00000000" w:rsidR="00000000" w:rsidRPr="00000000">
        <w:rPr>
          <w:rtl w:val="0"/>
        </w:rPr>
        <w:t xml:space="preserve">2. Where the lift lives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3h27anulokp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2a. By ABF1 density band (Window B, all treated ∩ ABF1 universe)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+7.65%</w:t>
            </w:r>
            <w:r w:rsidDel="00000000" w:rsidR="00000000" w:rsidRPr="00000000">
              <w:rPr>
                <w:rtl w:val="0"/>
              </w:rPr>
              <w:t xml:space="preserve"> [+4.02, +11.29]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−1.11%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+6.49% [+3.34, +9.63]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+0.55%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+7.22%</w:t>
            </w:r>
            <w:r w:rsidDel="00000000" w:rsidR="00000000" w:rsidRPr="00000000">
              <w:rPr>
                <w:rtl w:val="0"/>
              </w:rPr>
              <w:t xml:space="preserve"> [+5.90, +8.54]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+0.61%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−1.01% [−2.36, +0.34]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−0.11%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−3.99%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[−6.28, −1.69]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−1.27% ns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Banded set = </w:t>
      </w:r>
      <w:r w:rsidDel="00000000" w:rsidR="00000000" w:rsidRPr="00000000">
        <w:rPr>
          <w:b w:val="1"/>
          <w:bCs w:val="1"/>
          <w:rtl w:val="0"/>
        </w:rPr>
        <w:t xml:space="preserve">37.5% of web revenue</w:t>
      </w:r>
      <w:r w:rsidDel="00000000" w:rsidR="00000000" w:rsidRPr="00000000">
        <w:rPr>
          <w:rtl w:val="0"/>
        </w:rPr>
        <w:t xml:space="preserve"> (platform-scoped); treated-wide rev-weighted lift </w:t>
      </w:r>
      <w:r w:rsidDel="00000000" w:rsidR="00000000" w:rsidRPr="00000000">
        <w:rPr>
          <w:b w:val="1"/>
          <w:bCs w:val="1"/>
          <w:rtl w:val="0"/>
        </w:rPr>
        <w:t xml:space="preserve">+4.12%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banded global contribution ≈ +1.54pp</w:t>
      </w:r>
      <w:r w:rsidDel="00000000" w:rsidR="00000000" w:rsidRPr="00000000">
        <w:rPr>
          <w:rtl w:val="0"/>
        </w:rPr>
        <w:t xml:space="preserve">. Broad positive lift across sparse and mid bands; only the dense bands drag. TVT ns everywhere.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s9a1t96vfn8i" w:id="5"/>
      <w:bookmarkEnd w:id="5"/>
      <w:r w:rsidDel="00000000" w:rsidR="00000000" w:rsidRPr="00000000">
        <w:rPr>
          <w:rtl w:val="0"/>
        </w:rPr>
        <w:t xml:space="preserve">2b. Defect 1 — below-control over-prune: replicates on web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10–12 served ≥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+0.69%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 served &lt;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−8.42%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13+ served ≥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+1.52%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13+ served &lt;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−9.71%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Same signature as OTT and mobile. The per-title floor fix is platform-universal.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mhe1lg2u64h" w:id="6"/>
      <w:bookmarkEnd w:id="6"/>
      <w:r w:rsidDel="00000000" w:rsidR="00000000" w:rsidRPr="00000000">
        <w:rPr>
          <w:rtl w:val="0"/>
        </w:rPr>
        <w:t xml:space="preserve">2c. The series picture — intermediate between mobile (fine) and OTT (broken)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+7.6%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+6.3%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+7.5%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−3.4%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−20.1%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series earn in sparse/mid bands (unlike OTT, where they lose everywhere ≥4 cp) — web ad-config gates evidently don't expose ABF3's placement the way OTT episode gates do. The 13+ series collapse (−20%) sits on the below-control </w:t>
      </w:r>
      <w:r w:rsidDel="00000000" w:rsidR="00000000" w:rsidRPr="00000000">
        <w:rPr>
          <w:b w:val="1"/>
          <w:bCs w:val="1"/>
          <w:rtl w:val="0"/>
        </w:rPr>
        <w:t xml:space="preserve">count</w:t>
      </w:r>
      <w:r w:rsidDel="00000000" w:rsidR="00000000" w:rsidRPr="00000000">
        <w:rPr>
          <w:rtl w:val="0"/>
        </w:rPr>
        <w:t xml:space="preserve"> defect (the floor's territory) plus thin cells (web dense series are few).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ss0d7lqdjrjs" w:id="7"/>
      <w:bookmarkEnd w:id="7"/>
      <w:r w:rsidDel="00000000" w:rsidR="00000000" w:rsidRPr="00000000">
        <w:rPr>
          <w:rtl w:val="0"/>
        </w:rPr>
        <w:t xml:space="preserve">2d. Cohorts (Window B)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154,348 titles, on-title (ITT)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+5.52% [+3.91, +7.14]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+0.35% 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Top-up 38,116 titles (bands aggregate)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+4.50%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treated-wide; contribution ≈ +0.88pp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 in all bands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TVT cost on either cohort. (Window A→B additivity is looser on web than other platforms — the original set itself strengthened B-over-A within web noise.)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ayr96xnt83yb" w:id="8"/>
      <w:bookmarkEnd w:id="8"/>
      <w:r w:rsidDel="00000000" w:rsidR="00000000" w:rsidRPr="00000000">
        <w:rPr>
          <w:rtl w:val="0"/>
        </w:rPr>
        <w:t xml:space="preserve">3. Decision frame (on revenue and TVT lift directly)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at the current config is a clear win at platform level:</w:t>
      </w:r>
      <w:r w:rsidDel="00000000" w:rsidR="00000000" w:rsidRPr="00000000">
        <w:rPr>
          <w:rtl w:val="0"/>
        </w:rPr>
        <w:t xml:space="preserve"> +3.21% platform revenue, no measurable engagement cost, first-ever significant web topline.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floor fix has web upside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(below-control drags −8 to −10%); the OTT series placement fix is not needed for web outside the dense bands the floor already covers.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Re-measure any changed pruner config (Window C) before graduating its numbers</w:t>
      </w:r>
      <w:r w:rsidDel="00000000" w:rsidR="00000000" w:rsidRPr="00000000">
        <w:rPr>
          <w:rtl w:val="0"/>
        </w:rPr>
        <w:t xml:space="preserve"> — same guardrail as OTT/mobile.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wnp8ls55n81y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Appendix A — Window A (pre-top-up, 07-23 → 08-10)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global ITT revenue </w:t>
      </w:r>
      <w:r w:rsidDel="00000000" w:rsidR="00000000" w:rsidRPr="00000000">
        <w:rPr>
          <w:b w:val="1"/>
          <w:bCs w:val="1"/>
          <w:rtl w:val="0"/>
        </w:rPr>
        <w:t xml:space="preserve">+1.347%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[+0.554, +2.139] p=0.0009 — significant even pre-add; TVT +0.09% ns. On-title ITT +4.384% [+3.105, +5.663] / −0.657% ns (p=0.19); ToT on-title +3.334% / −0.67% 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Bands (original set):</w:t>
      </w:r>
      <w:r w:rsidDel="00000000" w:rsidR="00000000" w:rsidRPr="00000000">
        <w:rPr>
          <w:rtl w:val="0"/>
        </w:rPr>
        <w:t xml:space="preserve"> 1–3 +11.24%, 4–6 +5.71%, 7–9 +3.37%, 10–12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−2.70%</w:t>
      </w:r>
      <w:r w:rsidDel="00000000" w:rsidR="00000000" w:rsidRPr="00000000">
        <w:rPr>
          <w:rtl w:val="0"/>
        </w:rPr>
        <w:t xml:space="preserve">, 13+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−10.53%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TVT ns everywhere. Dense split: 10–12 at/above −0.88 ns vs below −8.71; 13+ at/above −5.24 vs below −13.39. Series: positive 1–6 (+11.2/+4.8), negative 7+ (7–9 −6.2, 13+ −32.3 — thin cells). Treated-wide +2.78%; banded share 17.9% → contribution ≈ +0.50pp.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Projection calibration:</w:t>
      </w:r>
      <w:r w:rsidDel="00000000" w:rsidR="00000000" w:rsidRPr="00000000">
        <w:rPr>
          <w:rtl w:val="0"/>
        </w:rPr>
        <w:t xml:space="preserve"> Window A measured +1.35% global — already at the v7 sample's </w:t>
      </w:r>
      <w:r w:rsidDel="00000000" w:rsidR="00000000" w:rsidRPr="00000000">
        <w:rPr>
          <w:i w:val="1"/>
          <w:iCs w:val="1"/>
          <w:rtl w:val="0"/>
        </w:rPr>
        <w:t xml:space="preserve">point estimate</w:t>
      </w:r>
      <w:r w:rsidDel="00000000" w:rsidR="00000000" w:rsidRPr="00000000">
        <w:rPr>
          <w:rtl w:val="0"/>
        </w:rPr>
        <w:t xml:space="preserve"> (+1.38%) despite Window A's smaller coverage, and unlike the sample read it is significant. The catalog experiment resolved what the sample could not: web's lift is real.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xke2w9ircpi" w:id="10"/>
      <w:bookmarkEnd w:id="10"/>
      <w:r w:rsidDel="00000000" w:rsidR="00000000" w:rsidRPr="00000000">
        <w:rPr>
          <w:rtl w:val="0"/>
        </w:rPr>
        <w:t xml:space="preserve">Appendix B — Window A vs B &amp; checks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revenue +1.35% → +3.21%; the top-up's banded contribution is ≈ +0.88pp, with the remainder from the original set strengthening within web noise (B-vs-A original on-title +4.38 → +5.52, CIs overlap).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TVT: no significant cost anywhere, either window, any cohort, any band — web remains the most engagement-tolerant platform, as in v6/v7.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Carryover: verified ≈nil on OTT (design-level property of the shared title-level serving change); not re-run per platform.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Top-up verification, activation date (08-11), and durable cue-point snapshot are shared with OTT (title-level; see OTT report Appendix B.4).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9k1tcr7zc47s" w:id="11"/>
      <w:bookmarkEnd w:id="11"/>
      <w:r w:rsidDel="00000000" w:rsidR="00000000" w:rsidRPr="00000000">
        <w:rPr>
          <w:rtl w:val="0"/>
        </w:rPr>
        <w:t xml:space="preserve">Appendix C — Methods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to the OTT report (windows A = 07-23→08-10 / B = 08-12→08-20, add day excluded; CUPED pre 07-09→07-22; populations ITT / Active-since-exposure / ToT; unbudgeted programmatic revenue; v6/v7-suite estimators). Platform scoping: device-level cuts scoped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ads_web_abf_3_v8</w:t>
      </w:r>
      <w:r w:rsidDel="00000000" w:rsidR="00000000" w:rsidRPr="00000000">
        <w:rPr>
          <w:rtl w:val="0"/>
        </w:rPr>
        <w:t xml:space="preserve"> exposures; banded revenue-share denominator scoped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platform='web'</w:t>
      </w:r>
      <w:r w:rsidDel="00000000" w:rsidR="00000000" w:rsidRPr="00000000">
        <w:rPr>
          <w:rtl w:val="0"/>
        </w:rPr>
        <w:t xml:space="preserve">. Known web-specific caveats: cookie-based device_id churn (inflates ITT n; % lifts unaffected); ~11% cross-surface watch leakage (v7 measurement, uncorrected here for consistency with v6/v7 methodology — correcting it made web look slightly </w:t>
      </w:r>
      <w:r w:rsidDel="00000000" w:rsidR="00000000" w:rsidRPr="00000000">
        <w:rPr>
          <w:i w:val="1"/>
          <w:i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 in v7). Artifacts: runs archived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…web…__run_2026-08-21_OUTPUT</w:t>
      </w:r>
      <w:r w:rsidDel="00000000" w:rsidR="00000000" w:rsidRPr="00000000">
        <w:rPr>
          <w:rtl w:val="0"/>
        </w:rPr>
        <w:t xml:space="preserve">; results JSON in 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.v8_refresh_results/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70VEKZ0sfDJTuslRZ_wLacBaXaBFVcwLtzfR_M7E88/edit" TargetMode="External"/><Relationship Id="rId7" Type="http://schemas.openxmlformats.org/officeDocument/2006/relationships/hyperlink" Target="https://docs.google.com/document/d/1NSoVOcipzJ-yXRgqdzz60JV6Ippl_g_-oTUrerPdOe4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