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(Mobile)</w:t>
      </w:r>
    </w:p>
    <w:p>
      <w:pPr/>
      <w:r>
        <w:rPr>
          <w:b/>
        </w:rPr>
        <w:t>Experiment:</w:t>
      </w:r>
      <w:r>
        <w:t xml:space="preserve"> `ads_mobile_abf_3_v10_abf2_titles_only` (Mobile) · device-randomized, four arms at 25% each · restarted 2026-10-09 23:30 UTC (same restart as OTT).</w:t>
      </w:r>
    </w:p>
    <w:p>
      <w:pPr/>
      <w:r>
        <w:rPr>
          <w:b/>
        </w:rPr>
        <w:t>Arms:</w:t>
      </w:r>
      <w:r>
        <w:t xml:space="preserve"> Control = ABF2 human cue points. v4 = T1 equal-load pruner (`abf3_pruner_t1_equal_load_v4.py`). v6 = T2, equal load plus about +7% ad load on movies of 60–120 minutes (`abf3_pruner_t2_targeted_load_v6.py`). v5b = T3, ABF2-like cue counts placed where the OTT ad config accepts requests (`abf3_pruner_t3_abf2_density_v5b.py`). The served cue lists are catalog-level, so every platform serves the same lists as OTT.</w:t>
      </w:r>
    </w:p>
    <w:p>
      <w:pPr/>
      <w:r>
        <w:rPr>
          <w:b/>
        </w:rPr>
        <w:t>Window:</w:t>
      </w:r>
      <w:r>
        <w:t xml:space="preserve"> 2026-10-09 → 2026-10-15 10:00 EDT (14:00 UTC) — the same window as the OTT report. Outcomes are capped at 14:00 UTC on 2026-10-15. This is an early read of a live test, not a graduation read.</w:t>
      </w:r>
    </w:p>
    <w:p>
      <w:pPr/>
      <w:r>
        <w:rPr>
          <w:b/>
        </w:rPr>
        <w:t>Method:</w:t>
      </w:r>
      <w:r>
        <w:t xml:space="preserve"> device-level CUPED, pre-period 2026-09-25 → 2026-10-08, Welch 95% intervals. ~2.01M devices/arm (ITT). Revenue is reported three ways — total (all billable ads), budgeted (direct, guaranteed, PMP), and unbudgeted (open auction, the v8 metric) — plus ad impressions and TVT. Same queries and definitions as the OTT report (Appendix C), run on the mobile experiment's exposures. Report date 2026-10-15.</w:t>
      </w:r>
    </w:p>
    <w:p>
      <w:pPr>
        <w:pStyle w:val="Heading1"/>
      </w:pPr>
      <w:r>
        <w:t>TL;DR</w:t>
      </w:r>
    </w:p>
    <w:p>
      <w:pPr>
        <w:pStyle w:val="ListBullet"/>
      </w:pPr>
      <w:r>
        <w:rPr>
          <w:b/>
        </w:rPr>
        <w:t>Only v5b wins on mobile.</w:t>
      </w:r>
      <w:r>
        <w:t xml:space="preserve"> v5b lifts total revenue +0.610% sig and impressions +0.680% sig; on the treated ABF2 titles its open-auction revenue is +1.706% sig. TVT is −0.359% ns (interval just includes zero) — the one engagement item to watch.</w:t>
      </w:r>
    </w:p>
    <w:p>
      <w:pPr>
        <w:pStyle w:val="ListBullet"/>
      </w:pPr>
      <w:r>
        <w:rPr>
          <w:b/>
        </w:rPr>
        <w:t>v4 and v6 lose significantly — unlike OTT.</w:t>
      </w:r>
      <w:r>
        <w:t xml:space="preserve"> Total revenue v4 −1.685% sig, v6 −1.208% sig; every revenue and impression pool is down for both. On OTT v6 was a safe positive; on mobile it is not.</w:t>
      </w:r>
    </w:p>
    <w:p>
      <w:pPr>
        <w:pStyle w:val="ListBullet"/>
      </w:pPr>
      <w:r>
        <w:rPr>
          <w:b/>
        </w:rPr>
        <w:t>Episodes drive the split.</w:t>
      </w:r>
      <w:r>
        <w:t xml:space="preserve"> Episode open-auction revenue: v4 −4.80% sig, v6 −6.03% sig, v5b +2.09% sig. Movies gain on v6 (+2.89% sig) and v5b (+1.82% sig), v4 flat. The episode loss for v4/v6 is concentrated in the sparse 1–3 and 4–6 bands, where v4/v6 serve fewer cue points than ABF2 on ~half the titles and place the first cue ~3.5 min later than ABF2.</w:t>
      </w:r>
    </w:p>
    <w:p>
      <w:pPr>
        <w:pStyle w:val="ListBullet"/>
      </w:pPr>
      <w:r>
        <w:rPr>
          <w:b/>
        </w:rPr>
        <w:t>The below-control defect replicates.</w:t>
      </w:r>
      <w:r>
        <w:t xml:space="preserve"> Dense titles served below their ABF2 count lose revenue on every arm (v4 10–12 −7.38% sig), and titles kept at or above control gain (v6 10–12 +6.90% sig). The per-title floor applies to mobile too.</w:t>
      </w:r>
    </w:p>
    <w:p>
      <w:pPr>
        <w:pStyle w:val="ListBullet"/>
      </w:pPr>
      <w:r>
        <w:rPr>
          <w:b/>
        </w:rPr>
        <w:t>TVT is flat for every arm.</w:t>
      </w:r>
      <w:r>
        <w:t xml:space="preserve"> No arm moves global TVT significantly in any population. The significant TVT items are small and local: v5b on-title TVT among non-power viewers (−0.709% sig) and v6 in the 13+ band (−1.09% sig).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t>v4 (equal load)</w:t>
            </w:r>
          </w:p>
        </w:tc>
        <w:tc>
          <w:tcPr>
            <w:tcW w:type="dxa" w:w="1440"/>
          </w:tcPr>
          <w:p>
            <w:r>
              <w:t>−1.685% [−2.092, −1.277] sig</w:t>
            </w:r>
          </w:p>
        </w:tc>
        <w:tc>
          <w:tcPr>
            <w:tcW w:type="dxa" w:w="1440"/>
          </w:tcPr>
          <w:p>
            <w:r>
              <w:t>−1.933% sig</w:t>
            </w:r>
          </w:p>
        </w:tc>
        <w:tc>
          <w:tcPr>
            <w:tcW w:type="dxa" w:w="1440"/>
          </w:tcPr>
          <w:p>
            <w:r>
              <w:t>−1.270% sig</w:t>
            </w:r>
          </w:p>
        </w:tc>
        <w:tc>
          <w:tcPr>
            <w:tcW w:type="dxa" w:w="1440"/>
          </w:tcPr>
          <w:p>
            <w:r>
              <w:t>−1.778% sig</w:t>
            </w:r>
          </w:p>
        </w:tc>
        <w:tc>
          <w:tcPr>
            <w:tcW w:type="dxa" w:w="1440"/>
          </w:tcPr>
          <w:p>
            <w:r>
              <w:t>+0.046% ns</w:t>
            </w:r>
          </w:p>
        </w:tc>
      </w:tr>
      <w:tr>
        <w:tc>
          <w:tcPr>
            <w:tcW w:type="dxa" w:w="1440"/>
          </w:tcPr>
          <w:p>
            <w:r>
              <w:t>v5b (ABF2 density, gate-aware placement)</w:t>
            </w:r>
          </w:p>
        </w:tc>
        <w:tc>
          <w:tcPr>
            <w:tcW w:type="dxa" w:w="1440"/>
          </w:tcPr>
          <w:p>
            <w:r>
              <w:t>+0.610% [+0.197, +1.022] sig</w:t>
            </w:r>
          </w:p>
        </w:tc>
        <w:tc>
          <w:tcPr>
            <w:tcW w:type="dxa" w:w="1440"/>
          </w:tcPr>
          <w:p>
            <w:r>
              <w:t>+0.838% sig</w:t>
            </w:r>
          </w:p>
        </w:tc>
        <w:tc>
          <w:tcPr>
            <w:tcW w:type="dxa" w:w="1440"/>
          </w:tcPr>
          <w:p>
            <w:r>
              <w:t>+0.315% ns</w:t>
            </w:r>
          </w:p>
        </w:tc>
        <w:tc>
          <w:tcPr>
            <w:tcW w:type="dxa" w:w="1440"/>
          </w:tcPr>
          <w:p>
            <w:r>
              <w:t>+0.680% sig</w:t>
            </w:r>
          </w:p>
        </w:tc>
        <w:tc>
          <w:tcPr>
            <w:tcW w:type="dxa" w:w="1440"/>
          </w:tcPr>
          <w:p>
            <w:r>
              <w:t>−0.359% ns</w:t>
            </w:r>
          </w:p>
        </w:tc>
      </w:tr>
      <w:tr>
        <w:tc>
          <w:tcPr>
            <w:tcW w:type="dxa" w:w="1440"/>
          </w:tcPr>
          <w:p>
            <w:r>
              <w:t>v6 (movies 60–120 min, +7% load)</w:t>
            </w:r>
          </w:p>
        </w:tc>
        <w:tc>
          <w:tcPr>
            <w:tcW w:type="dxa" w:w="1440"/>
          </w:tcPr>
          <w:p>
            <w:r>
              <w:t>−1.208% [−1.614, −0.801] sig</w:t>
            </w:r>
          </w:p>
        </w:tc>
        <w:tc>
          <w:tcPr>
            <w:tcW w:type="dxa" w:w="1440"/>
          </w:tcPr>
          <w:p>
            <w:r>
              <w:t>−1.297% sig</w:t>
            </w:r>
          </w:p>
        </w:tc>
        <w:tc>
          <w:tcPr>
            <w:tcW w:type="dxa" w:w="1440"/>
          </w:tcPr>
          <w:p>
            <w:r>
              <w:t>−0.927% sig</w:t>
            </w:r>
          </w:p>
        </w:tc>
        <w:tc>
          <w:tcPr>
            <w:tcW w:type="dxa" w:w="1440"/>
          </w:tcPr>
          <w:p>
            <w:r>
              <w:t>−1.248% sig</w:t>
            </w:r>
          </w:p>
        </w:tc>
        <w:tc>
          <w:tcPr>
            <w:tcW w:type="dxa" w:w="1440"/>
          </w:tcPr>
          <w:p>
            <w:r>
              <w:t>−0.085% ns</w:t>
            </w:r>
          </w:p>
        </w:tc>
      </w:tr>
    </w:tbl>
    <w:p/>
    <w:p>
      <w:pPr/>
      <w:r>
        <w:t>All figures are global ITT CUPED lifts versus Control. Direction is stable across ITT, Active, and ToT. Not reconciled with a Statsig scorecard (not available here).</w:t>
      </w:r>
    </w:p>
    <w:p>
      <w:pPr>
        <w:pStyle w:val="Heading1"/>
      </w:pPr>
      <w:r>
        <w:t>1. Headline (2026-10-09 → 2026-10-15 10:00 EDT)</w:t>
      </w:r>
    </w:p>
    <w:p>
      <w:pPr/>
      <w:r>
        <w:t>All figures are CUPED lifts versus Control, 95% intervals. Global is across every title an exposed device watched. On-title is the same devices, restricted to the ABF2 title list. “Sig” means the interval excludes zero (nominal p &lt; 0.05).</w:t>
      </w:r>
    </w:p>
    <w:p>
      <w:pPr/>
      <w:r>
        <w:t>Revenue, three ways (global ITT — the headline money table).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−1.685% [−2.092, −1.277] sig</w:t>
            </w:r>
          </w:p>
        </w:tc>
        <w:tc>
          <w:tcPr>
            <w:tcW w:type="dxa" w:w="1728"/>
          </w:tcPr>
          <w:p>
            <w:r>
              <w:t>−1.933% [−2.339, −1.527] sig</w:t>
            </w:r>
          </w:p>
        </w:tc>
        <w:tc>
          <w:tcPr>
            <w:tcW w:type="dxa" w:w="1728"/>
          </w:tcPr>
          <w:p>
            <w:r>
              <w:t>−1.270% [−1.787, −0.753] sig</w:t>
            </w:r>
          </w:p>
        </w:tc>
        <w:tc>
          <w:tcPr>
            <w:tcW w:type="dxa" w:w="1728"/>
          </w:tcPr>
          <w:p>
            <w:r>
              <w:t>−1.778% [−2.171, −1.385] sig</w:t>
            </w:r>
          </w:p>
        </w:tc>
      </w:tr>
      <w:tr>
        <w:tc>
          <w:tcPr>
            <w:tcW w:type="dxa" w:w="1728"/>
          </w:tcPr>
          <w:p>
            <w:r>
              <w:t>v5b</w:t>
            </w:r>
          </w:p>
        </w:tc>
        <w:tc>
          <w:tcPr>
            <w:tcW w:type="dxa" w:w="1728"/>
          </w:tcPr>
          <w:p>
            <w:r>
              <w:t>+0.610% [+0.197, +1.022] sig</w:t>
            </w:r>
          </w:p>
        </w:tc>
        <w:tc>
          <w:tcPr>
            <w:tcW w:type="dxa" w:w="1728"/>
          </w:tcPr>
          <w:p>
            <w:r>
              <w:t>+0.838% [+0.427, +1.249] sig</w:t>
            </w:r>
          </w:p>
        </w:tc>
        <w:tc>
          <w:tcPr>
            <w:tcW w:type="dxa" w:w="1728"/>
          </w:tcPr>
          <w:p>
            <w:r>
              <w:t>+0.315% [−0.208, +0.837] ns</w:t>
            </w:r>
          </w:p>
        </w:tc>
        <w:tc>
          <w:tcPr>
            <w:tcW w:type="dxa" w:w="1728"/>
          </w:tcPr>
          <w:p>
            <w:r>
              <w:t>+0.680% [+0.282, +1.077] sig</w:t>
            </w:r>
          </w:p>
        </w:tc>
      </w:tr>
      <w:tr>
        <w:tc>
          <w:tcPr>
            <w:tcW w:type="dxa" w:w="1728"/>
          </w:tcPr>
          <w:p>
            <w:r>
              <w:t>v6</w:t>
            </w:r>
          </w:p>
        </w:tc>
        <w:tc>
          <w:tcPr>
            <w:tcW w:type="dxa" w:w="1728"/>
          </w:tcPr>
          <w:p>
            <w:r>
              <w:t>−1.208% [−1.614, −0.801] sig</w:t>
            </w:r>
          </w:p>
        </w:tc>
        <w:tc>
          <w:tcPr>
            <w:tcW w:type="dxa" w:w="1728"/>
          </w:tcPr>
          <w:p>
            <w:r>
              <w:t>−1.297% [−1.703, −0.891] sig</w:t>
            </w:r>
          </w:p>
        </w:tc>
        <w:tc>
          <w:tcPr>
            <w:tcW w:type="dxa" w:w="1728"/>
          </w:tcPr>
          <w:p>
            <w:r>
              <w:t>−0.927% [−1.442, −0.411] sig</w:t>
            </w:r>
          </w:p>
        </w:tc>
        <w:tc>
          <w:tcPr>
            <w:tcW w:type="dxa" w:w="1728"/>
          </w:tcPr>
          <w:p>
            <w:r>
              <w:t>−1.248% [−1.640, −0.855] sig</w:t>
            </w:r>
          </w:p>
        </w:tc>
      </w:tr>
    </w:tbl>
    <w:p/>
    <w:p>
      <w:pPr/>
      <w:r>
        <w:t>Control per-device means: total revenue 0.134, budgeted 0.059, all-ad impressions 15.5; ITT n/arm ≈ 2.01M. Unlike OTT, the mobile money table is a clean split: v5b is up in every pool (budgeted +0.838% sig; unbudgeted +0.315% ns, positive but not significant), while v4 and v6 lose in every pool (budgeted −1.933% sig / −1.297% sig; unbudgeted −1.270% sig / −0.927% sig). Revenue tracks impressions closely in every arm, so this is an ad-delivery effect, not a price effect.</w:t>
      </w:r>
    </w:p>
    <w:p>
      <w:pPr/>
      <w: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2,009,237</w:t>
            </w:r>
          </w:p>
        </w:tc>
        <w:tc>
          <w:tcPr>
            <w:tcW w:type="dxa" w:w="1440"/>
          </w:tcPr>
          <w:p>
            <w:r>
              <w:t>−1.270% [−1.787, −0.753] sig</w:t>
            </w:r>
          </w:p>
        </w:tc>
        <w:tc>
          <w:tcPr>
            <w:tcW w:type="dxa" w:w="1440"/>
          </w:tcPr>
          <w:p>
            <w:r>
              <w:t>−1.390% [−1.874, −0.905] sig</w:t>
            </w:r>
          </w:p>
        </w:tc>
        <w:tc>
          <w:tcPr>
            <w:tcW w:type="dxa" w:w="1440"/>
          </w:tcPr>
          <w:p>
            <w:r>
              <w:t>+0.046% [−0.343, +0.435] ns</w:t>
            </w:r>
          </w:p>
        </w:tc>
      </w:tr>
      <w:tr>
        <w:tc>
          <w:tcPr>
            <w:tcW w:type="dxa" w:w="1440"/>
          </w:tcPr>
          <w:p>
            <w:r>
              <w:t>ITT</w:t>
            </w:r>
          </w:p>
        </w:tc>
        <w:tc>
          <w:tcPr>
            <w:tcW w:type="dxa" w:w="1440"/>
          </w:tcPr>
          <w:p>
            <w:r>
              <w:t>v5b</w:t>
            </w:r>
          </w:p>
        </w:tc>
        <w:tc>
          <w:tcPr>
            <w:tcW w:type="dxa" w:w="1440"/>
          </w:tcPr>
          <w:p>
            <w:r>
              <w:t>2,008,765</w:t>
            </w:r>
          </w:p>
        </w:tc>
        <w:tc>
          <w:tcPr>
            <w:tcW w:type="dxa" w:w="1440"/>
          </w:tcPr>
          <w:p>
            <w:r>
              <w:t>+0.315% [−0.208, +0.837] ns</w:t>
            </w:r>
          </w:p>
        </w:tc>
        <w:tc>
          <w:tcPr>
            <w:tcW w:type="dxa" w:w="1440"/>
          </w:tcPr>
          <w:p>
            <w:r>
              <w:t>+0.530% [+0.040, +1.019] sig</w:t>
            </w:r>
          </w:p>
        </w:tc>
        <w:tc>
          <w:tcPr>
            <w:tcW w:type="dxa" w:w="1440"/>
          </w:tcPr>
          <w:p>
            <w:r>
              <w:t>−0.359% [−0.747, +0.029] ns</w:t>
            </w:r>
          </w:p>
        </w:tc>
      </w:tr>
      <w:tr>
        <w:tc>
          <w:tcPr>
            <w:tcW w:type="dxa" w:w="1440"/>
          </w:tcPr>
          <w:p>
            <w:r>
              <w:t>ITT</w:t>
            </w:r>
          </w:p>
        </w:tc>
        <w:tc>
          <w:tcPr>
            <w:tcW w:type="dxa" w:w="1440"/>
          </w:tcPr>
          <w:p>
            <w:r>
              <w:t>v6</w:t>
            </w:r>
          </w:p>
        </w:tc>
        <w:tc>
          <w:tcPr>
            <w:tcW w:type="dxa" w:w="1440"/>
          </w:tcPr>
          <w:p>
            <w:r>
              <w:t>2,011,755</w:t>
            </w:r>
          </w:p>
        </w:tc>
        <w:tc>
          <w:tcPr>
            <w:tcW w:type="dxa" w:w="1440"/>
          </w:tcPr>
          <w:p>
            <w:r>
              <w:t>−0.927% [−1.442, −0.411] sig</w:t>
            </w:r>
          </w:p>
        </w:tc>
        <w:tc>
          <w:tcPr>
            <w:tcW w:type="dxa" w:w="1440"/>
          </w:tcPr>
          <w:p>
            <w:r>
              <w:t>−1.100% [−1.583, −0.616] sig</w:t>
            </w:r>
          </w:p>
        </w:tc>
        <w:tc>
          <w:tcPr>
            <w:tcW w:type="dxa" w:w="1440"/>
          </w:tcPr>
          <w:p>
            <w:r>
              <w:t>−0.085% [−0.472, +0.302] ns</w:t>
            </w:r>
          </w:p>
        </w:tc>
      </w:tr>
      <w:tr>
        <w:tc>
          <w:tcPr>
            <w:tcW w:type="dxa" w:w="1440"/>
          </w:tcPr>
          <w:p>
            <w:r>
              <w:t>Active</w:t>
            </w:r>
          </w:p>
        </w:tc>
        <w:tc>
          <w:tcPr>
            <w:tcW w:type="dxa" w:w="1440"/>
          </w:tcPr>
          <w:p>
            <w:r>
              <w:t>v4</w:t>
            </w:r>
          </w:p>
        </w:tc>
        <w:tc>
          <w:tcPr>
            <w:tcW w:type="dxa" w:w="1440"/>
          </w:tcPr>
          <w:p>
            <w:r>
              <w:t>1,217,401</w:t>
            </w:r>
          </w:p>
        </w:tc>
        <w:tc>
          <w:tcPr>
            <w:tcW w:type="dxa" w:w="1440"/>
          </w:tcPr>
          <w:p>
            <w:r>
              <w:t>−1.206% [−1.712, −0.699] sig</w:t>
            </w:r>
          </w:p>
        </w:tc>
        <w:tc>
          <w:tcPr>
            <w:tcW w:type="dxa" w:w="1440"/>
          </w:tcPr>
          <w:p>
            <w:r>
              <w:t>−1.324% [−1.798, −0.849] sig</w:t>
            </w:r>
          </w:p>
        </w:tc>
        <w:tc>
          <w:tcPr>
            <w:tcW w:type="dxa" w:w="1440"/>
          </w:tcPr>
          <w:p>
            <w:r>
              <w:t>+0.127% [−0.250, +0.504] ns</w:t>
            </w:r>
          </w:p>
        </w:tc>
      </w:tr>
      <w:tr>
        <w:tc>
          <w:tcPr>
            <w:tcW w:type="dxa" w:w="1440"/>
          </w:tcPr>
          <w:p>
            <w:r>
              <w:t>Active</w:t>
            </w:r>
          </w:p>
        </w:tc>
        <w:tc>
          <w:tcPr>
            <w:tcW w:type="dxa" w:w="1440"/>
          </w:tcPr>
          <w:p>
            <w:r>
              <w:t>v5b</w:t>
            </w:r>
          </w:p>
        </w:tc>
        <w:tc>
          <w:tcPr>
            <w:tcW w:type="dxa" w:w="1440"/>
          </w:tcPr>
          <w:p>
            <w:r>
              <w:t>1,217,226</w:t>
            </w:r>
          </w:p>
        </w:tc>
        <w:tc>
          <w:tcPr>
            <w:tcW w:type="dxa" w:w="1440"/>
          </w:tcPr>
          <w:p>
            <w:r>
              <w:t>+0.383% [−0.130, +0.895] ns</w:t>
            </w:r>
          </w:p>
        </w:tc>
        <w:tc>
          <w:tcPr>
            <w:tcW w:type="dxa" w:w="1440"/>
          </w:tcPr>
          <w:p>
            <w:r>
              <w:t>+0.592% [+0.113, +1.071] sig</w:t>
            </w:r>
          </w:p>
        </w:tc>
        <w:tc>
          <w:tcPr>
            <w:tcW w:type="dxa" w:w="1440"/>
          </w:tcPr>
          <w:p>
            <w:r>
              <w:t>−0.296% [−0.672, +0.081] ns</w:t>
            </w:r>
          </w:p>
        </w:tc>
      </w:tr>
      <w:tr>
        <w:tc>
          <w:tcPr>
            <w:tcW w:type="dxa" w:w="1440"/>
          </w:tcPr>
          <w:p>
            <w:r>
              <w:t>Active</w:t>
            </w:r>
          </w:p>
        </w:tc>
        <w:tc>
          <w:tcPr>
            <w:tcW w:type="dxa" w:w="1440"/>
          </w:tcPr>
          <w:p>
            <w:r>
              <w:t>v6</w:t>
            </w:r>
          </w:p>
        </w:tc>
        <w:tc>
          <w:tcPr>
            <w:tcW w:type="dxa" w:w="1440"/>
          </w:tcPr>
          <w:p>
            <w:r>
              <w:t>1,219,533</w:t>
            </w:r>
          </w:p>
        </w:tc>
        <w:tc>
          <w:tcPr>
            <w:tcW w:type="dxa" w:w="1440"/>
          </w:tcPr>
          <w:p>
            <w:r>
              <w:t>−0.935% [−1.440, −0.430] sig</w:t>
            </w:r>
          </w:p>
        </w:tc>
        <w:tc>
          <w:tcPr>
            <w:tcW w:type="dxa" w:w="1440"/>
          </w:tcPr>
          <w:p>
            <w:r>
              <w:t>−1.111% [−1.585, −0.638] sig</w:t>
            </w:r>
          </w:p>
        </w:tc>
        <w:tc>
          <w:tcPr>
            <w:tcW w:type="dxa" w:w="1440"/>
          </w:tcPr>
          <w:p>
            <w:r>
              <w:t>−0.074% [−0.450, +0.302] ns</w:t>
            </w:r>
          </w:p>
        </w:tc>
      </w:tr>
      <w:tr>
        <w:tc>
          <w:tcPr>
            <w:tcW w:type="dxa" w:w="1440"/>
          </w:tcPr>
          <w:p>
            <w:r>
              <w:t>ToT</w:t>
            </w:r>
          </w:p>
        </w:tc>
        <w:tc>
          <w:tcPr>
            <w:tcW w:type="dxa" w:w="1440"/>
          </w:tcPr>
          <w:p>
            <w:r>
              <w:t>v4</w:t>
            </w:r>
          </w:p>
        </w:tc>
        <w:tc>
          <w:tcPr>
            <w:tcW w:type="dxa" w:w="1440"/>
          </w:tcPr>
          <w:p>
            <w:r>
              <w:t>894,221</w:t>
            </w:r>
          </w:p>
        </w:tc>
        <w:tc>
          <w:tcPr>
            <w:tcW w:type="dxa" w:w="1440"/>
          </w:tcPr>
          <w:p>
            <w:r>
              <w:t>−1.375% [−1.912, −0.839] sig</w:t>
            </w:r>
          </w:p>
        </w:tc>
        <w:tc>
          <w:tcPr>
            <w:tcW w:type="dxa" w:w="1440"/>
          </w:tcPr>
          <w:p>
            <w:r>
              <w:t>−1.490% [−1.991, −0.989] sig</w:t>
            </w:r>
          </w:p>
        </w:tc>
        <w:tc>
          <w:tcPr>
            <w:tcW w:type="dxa" w:w="1440"/>
          </w:tcPr>
          <w:p>
            <w:r>
              <w:t>+0.049% [−0.345, +0.444] ns</w:t>
            </w:r>
          </w:p>
        </w:tc>
      </w:tr>
      <w:tr>
        <w:tc>
          <w:tcPr>
            <w:tcW w:type="dxa" w:w="1440"/>
          </w:tcPr>
          <w:p>
            <w:r>
              <w:t>ToT</w:t>
            </w:r>
          </w:p>
        </w:tc>
        <w:tc>
          <w:tcPr>
            <w:tcW w:type="dxa" w:w="1440"/>
          </w:tcPr>
          <w:p>
            <w:r>
              <w:t>v5b</w:t>
            </w:r>
          </w:p>
        </w:tc>
        <w:tc>
          <w:tcPr>
            <w:tcW w:type="dxa" w:w="1440"/>
          </w:tcPr>
          <w:p>
            <w:r>
              <w:t>893,562</w:t>
            </w:r>
          </w:p>
        </w:tc>
        <w:tc>
          <w:tcPr>
            <w:tcW w:type="dxa" w:w="1440"/>
          </w:tcPr>
          <w:p>
            <w:r>
              <w:t>+0.447% [−0.098, +0.991] ns</w:t>
            </w:r>
          </w:p>
        </w:tc>
        <w:tc>
          <w:tcPr>
            <w:tcW w:type="dxa" w:w="1440"/>
          </w:tcPr>
          <w:p>
            <w:r>
              <w:t>+0.607% [+0.100, +1.115] sig</w:t>
            </w:r>
          </w:p>
        </w:tc>
        <w:tc>
          <w:tcPr>
            <w:tcW w:type="dxa" w:w="1440"/>
          </w:tcPr>
          <w:p>
            <w:r>
              <w:t>−0.317% [−0.711, +0.077] ns</w:t>
            </w:r>
          </w:p>
        </w:tc>
      </w:tr>
      <w:tr>
        <w:tc>
          <w:tcPr>
            <w:tcW w:type="dxa" w:w="1440"/>
          </w:tcPr>
          <w:p>
            <w:r>
              <w:t>ToT</w:t>
            </w:r>
          </w:p>
        </w:tc>
        <w:tc>
          <w:tcPr>
            <w:tcW w:type="dxa" w:w="1440"/>
          </w:tcPr>
          <w:p>
            <w:r>
              <w:t>v6</w:t>
            </w:r>
          </w:p>
        </w:tc>
        <w:tc>
          <w:tcPr>
            <w:tcW w:type="dxa" w:w="1440"/>
          </w:tcPr>
          <w:p>
            <w:r>
              <w:t>895,923</w:t>
            </w:r>
          </w:p>
        </w:tc>
        <w:tc>
          <w:tcPr>
            <w:tcW w:type="dxa" w:w="1440"/>
          </w:tcPr>
          <w:p>
            <w:r>
              <w:t>−1.130% [−1.666, −0.594] sig</w:t>
            </w:r>
          </w:p>
        </w:tc>
        <w:tc>
          <w:tcPr>
            <w:tcW w:type="dxa" w:w="1440"/>
          </w:tcPr>
          <w:p>
            <w:r>
              <w:t>−1.291% [−1.792, −0.791] sig</w:t>
            </w:r>
          </w:p>
        </w:tc>
        <w:tc>
          <w:tcPr>
            <w:tcW w:type="dxa" w:w="1440"/>
          </w:tcPr>
          <w:p>
            <w:r>
              <w:t>−0.165% [−0.558, +0.229] ns</w:t>
            </w:r>
          </w:p>
        </w:tc>
      </w:tr>
    </w:tbl>
    <w:p/>
    <w:p>
      <w:pPr/>
      <w:r>
        <w:t>Control n: ITT 2,010,671 · Active 1,219,993 · ToT 895,365.</w:t>
      </w:r>
    </w:p>
    <w:p>
      <w:pPr/>
      <w:r>
        <w:t>On-title (ABF2 catalog only;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t>−2.436% [−3.134, −1.738] sig</w:t>
            </w:r>
          </w:p>
        </w:tc>
        <w:tc>
          <w:tcPr>
            <w:tcW w:type="dxa" w:w="1728"/>
          </w:tcPr>
          <w:p>
            <w:r>
              <w:t>−2.820% [−3.482, −2.158] sig</w:t>
            </w:r>
          </w:p>
        </w:tc>
        <w:tc>
          <w:tcPr>
            <w:tcW w:type="dxa" w:w="1728"/>
          </w:tcPr>
          <w:p>
            <w:r>
              <w:t>−0.074% [−0.623, +0.475] ns</w:t>
            </w:r>
          </w:p>
        </w:tc>
      </w:tr>
      <w:tr>
        <w:tc>
          <w:tcPr>
            <w:tcW w:type="dxa" w:w="1728"/>
          </w:tcPr>
          <w:p>
            <w:r>
              <w:t>ITT</w:t>
            </w:r>
          </w:p>
        </w:tc>
        <w:tc>
          <w:tcPr>
            <w:tcW w:type="dxa" w:w="1728"/>
          </w:tcPr>
          <w:p>
            <w:r>
              <w:t>v5b</w:t>
            </w:r>
          </w:p>
        </w:tc>
        <w:tc>
          <w:tcPr>
            <w:tcW w:type="dxa" w:w="1728"/>
          </w:tcPr>
          <w:p>
            <w:r>
              <w:t>+1.706% [+0.996, +2.416] sig</w:t>
            </w:r>
          </w:p>
        </w:tc>
        <w:tc>
          <w:tcPr>
            <w:tcW w:type="dxa" w:w="1728"/>
          </w:tcPr>
          <w:p>
            <w:r>
              <w:t>+1.753% [+1.074, +2.432] sig</w:t>
            </w:r>
          </w:p>
        </w:tc>
        <w:tc>
          <w:tcPr>
            <w:tcW w:type="dxa" w:w="1728"/>
          </w:tcPr>
          <w:p>
            <w:r>
              <w:t>−0.267% [−0.814, +0.279] ns</w:t>
            </w:r>
          </w:p>
        </w:tc>
      </w:tr>
      <w:tr>
        <w:tc>
          <w:tcPr>
            <w:tcW w:type="dxa" w:w="1728"/>
          </w:tcPr>
          <w:p>
            <w:r>
              <w:t>ITT</w:t>
            </w:r>
          </w:p>
        </w:tc>
        <w:tc>
          <w:tcPr>
            <w:tcW w:type="dxa" w:w="1728"/>
          </w:tcPr>
          <w:p>
            <w:r>
              <w:t>v6</w:t>
            </w:r>
          </w:p>
        </w:tc>
        <w:tc>
          <w:tcPr>
            <w:tcW w:type="dxa" w:w="1728"/>
          </w:tcPr>
          <w:p>
            <w:r>
              <w:t>−1.356% [−2.051, −0.660] sig</w:t>
            </w:r>
          </w:p>
        </w:tc>
        <w:tc>
          <w:tcPr>
            <w:tcW w:type="dxa" w:w="1728"/>
          </w:tcPr>
          <w:p>
            <w:r>
              <w:t>−1.691% [−2.353, −1.028] sig</w:t>
            </w:r>
          </w:p>
        </w:tc>
        <w:tc>
          <w:tcPr>
            <w:tcW w:type="dxa" w:w="1728"/>
          </w:tcPr>
          <w:p>
            <w:r>
              <w:t>−0.279% [−0.825, +0.268] ns</w:t>
            </w:r>
          </w:p>
        </w:tc>
      </w:tr>
      <w:tr>
        <w:tc>
          <w:tcPr>
            <w:tcW w:type="dxa" w:w="1728"/>
          </w:tcPr>
          <w:p>
            <w:r>
              <w:t>Active</w:t>
            </w:r>
          </w:p>
        </w:tc>
        <w:tc>
          <w:tcPr>
            <w:tcW w:type="dxa" w:w="1728"/>
          </w:tcPr>
          <w:p>
            <w:r>
              <w:t>v4</w:t>
            </w:r>
          </w:p>
        </w:tc>
        <w:tc>
          <w:tcPr>
            <w:tcW w:type="dxa" w:w="1728"/>
          </w:tcPr>
          <w:p>
            <w:r>
              <w:t>−2.373% [−3.063, −1.682] sig</w:t>
            </w:r>
          </w:p>
        </w:tc>
        <w:tc>
          <w:tcPr>
            <w:tcW w:type="dxa" w:w="1728"/>
          </w:tcPr>
          <w:p>
            <w:r>
              <w:t>−2.762% [−3.417, −2.107] sig</w:t>
            </w:r>
          </w:p>
        </w:tc>
        <w:tc>
          <w:tcPr>
            <w:tcW w:type="dxa" w:w="1728"/>
          </w:tcPr>
          <w:p>
            <w:r>
              <w:t>+0.011% [−0.530, +0.552] ns</w:t>
            </w:r>
          </w:p>
        </w:tc>
      </w:tr>
      <w:tr>
        <w:tc>
          <w:tcPr>
            <w:tcW w:type="dxa" w:w="1728"/>
          </w:tcPr>
          <w:p>
            <w:r>
              <w:t>Active</w:t>
            </w:r>
          </w:p>
        </w:tc>
        <w:tc>
          <w:tcPr>
            <w:tcW w:type="dxa" w:w="1728"/>
          </w:tcPr>
          <w:p>
            <w:r>
              <w:t>v5b</w:t>
            </w:r>
          </w:p>
        </w:tc>
        <w:tc>
          <w:tcPr>
            <w:tcW w:type="dxa" w:w="1728"/>
          </w:tcPr>
          <w:p>
            <w:r>
              <w:t>+1.766% [+1.064, +2.469] sig</w:t>
            </w:r>
          </w:p>
        </w:tc>
        <w:tc>
          <w:tcPr>
            <w:tcW w:type="dxa" w:w="1728"/>
          </w:tcPr>
          <w:p>
            <w:r>
              <w:t>+1.806% [+1.134, +2.477] sig</w:t>
            </w:r>
          </w:p>
        </w:tc>
        <w:tc>
          <w:tcPr>
            <w:tcW w:type="dxa" w:w="1728"/>
          </w:tcPr>
          <w:p>
            <w:r>
              <w:t>−0.200% [−0.739, +0.338] ns</w:t>
            </w:r>
          </w:p>
        </w:tc>
      </w:tr>
      <w:tr>
        <w:tc>
          <w:tcPr>
            <w:tcW w:type="dxa" w:w="1728"/>
          </w:tcPr>
          <w:p>
            <w:r>
              <w:t>Active</w:t>
            </w:r>
          </w:p>
        </w:tc>
        <w:tc>
          <w:tcPr>
            <w:tcW w:type="dxa" w:w="1728"/>
          </w:tcPr>
          <w:p>
            <w:r>
              <w:t>v6</w:t>
            </w:r>
          </w:p>
        </w:tc>
        <w:tc>
          <w:tcPr>
            <w:tcW w:type="dxa" w:w="1728"/>
          </w:tcPr>
          <w:p>
            <w:r>
              <w:t>−1.362% [−2.050, −0.674] sig</w:t>
            </w:r>
          </w:p>
        </w:tc>
        <w:tc>
          <w:tcPr>
            <w:tcW w:type="dxa" w:w="1728"/>
          </w:tcPr>
          <w:p>
            <w:r>
              <w:t>−1.703% [−2.358, −1.048] sig</w:t>
            </w:r>
          </w:p>
        </w:tc>
        <w:tc>
          <w:tcPr>
            <w:tcW w:type="dxa" w:w="1728"/>
          </w:tcPr>
          <w:p>
            <w:r>
              <w:t>−0.264% [−0.802, +0.274] ns</w:t>
            </w:r>
          </w:p>
        </w:tc>
      </w:tr>
      <w:tr>
        <w:tc>
          <w:tcPr>
            <w:tcW w:type="dxa" w:w="1728"/>
          </w:tcPr>
          <w:p>
            <w:r>
              <w:t>ToT</w:t>
            </w:r>
          </w:p>
        </w:tc>
        <w:tc>
          <w:tcPr>
            <w:tcW w:type="dxa" w:w="1728"/>
          </w:tcPr>
          <w:p>
            <w:r>
              <w:t>v4</w:t>
            </w:r>
          </w:p>
        </w:tc>
        <w:tc>
          <w:tcPr>
            <w:tcW w:type="dxa" w:w="1728"/>
          </w:tcPr>
          <w:p>
            <w:r>
              <w:t>−2.537% [−3.206, −1.869] sig</w:t>
            </w:r>
          </w:p>
        </w:tc>
        <w:tc>
          <w:tcPr>
            <w:tcW w:type="dxa" w:w="1728"/>
          </w:tcPr>
          <w:p>
            <w:r>
              <w:t>−2.915% [−3.546, −2.284] sig</w:t>
            </w:r>
          </w:p>
        </w:tc>
        <w:tc>
          <w:tcPr>
            <w:tcW w:type="dxa" w:w="1728"/>
          </w:tcPr>
          <w:p>
            <w:r>
              <w:t>−0.102% [−0.617, +0.414] ns</w:t>
            </w:r>
          </w:p>
        </w:tc>
      </w:tr>
      <w:tr>
        <w:tc>
          <w:tcPr>
            <w:tcW w:type="dxa" w:w="1728"/>
          </w:tcPr>
          <w:p>
            <w:r>
              <w:t>ToT</w:t>
            </w:r>
          </w:p>
        </w:tc>
        <w:tc>
          <w:tcPr>
            <w:tcW w:type="dxa" w:w="1728"/>
          </w:tcPr>
          <w:p>
            <w:r>
              <w:t>v5b</w:t>
            </w:r>
          </w:p>
        </w:tc>
        <w:tc>
          <w:tcPr>
            <w:tcW w:type="dxa" w:w="1728"/>
          </w:tcPr>
          <w:p>
            <w:r>
              <w:t>+1.603% [+0.923, +2.282] sig</w:t>
            </w:r>
          </w:p>
        </w:tc>
        <w:tc>
          <w:tcPr>
            <w:tcW w:type="dxa" w:w="1728"/>
          </w:tcPr>
          <w:p>
            <w:r>
              <w:t>+1.627% [+0.979, +2.274] sig</w:t>
            </w:r>
          </w:p>
        </w:tc>
        <w:tc>
          <w:tcPr>
            <w:tcW w:type="dxa" w:w="1728"/>
          </w:tcPr>
          <w:p>
            <w:r>
              <w:t>−0.333% [−0.846, +0.179] ns</w:t>
            </w:r>
          </w:p>
        </w:tc>
      </w:tr>
      <w:tr>
        <w:tc>
          <w:tcPr>
            <w:tcW w:type="dxa" w:w="1728"/>
          </w:tcPr>
          <w:p>
            <w:r>
              <w:t>ToT</w:t>
            </w:r>
          </w:p>
        </w:tc>
        <w:tc>
          <w:tcPr>
            <w:tcW w:type="dxa" w:w="1728"/>
          </w:tcPr>
          <w:p>
            <w:r>
              <w:t>v6</w:t>
            </w:r>
          </w:p>
        </w:tc>
        <w:tc>
          <w:tcPr>
            <w:tcW w:type="dxa" w:w="1728"/>
          </w:tcPr>
          <w:p>
            <w:r>
              <w:t>−1.554% [−2.219, −0.889] sig</w:t>
            </w:r>
          </w:p>
        </w:tc>
        <w:tc>
          <w:tcPr>
            <w:tcW w:type="dxa" w:w="1728"/>
          </w:tcPr>
          <w:p>
            <w:r>
              <w:t>−1.872% [−2.503, −1.242] sig</w:t>
            </w:r>
          </w:p>
        </w:tc>
        <w:tc>
          <w:tcPr>
            <w:tcW w:type="dxa" w:w="1728"/>
          </w:tcPr>
          <w:p>
            <w:r>
              <w:t>−0.371% [−0.883, +0.141] ns</w:t>
            </w:r>
          </w:p>
        </w:tc>
      </w:tr>
    </w:tbl>
    <w:p/>
    <w:p>
      <w:pPr/>
      <w:r>
        <w:t>On the treated ABF2 titles the split sharpens: v5b +1.706% sig unbudgeted revenue, v4 −2.436% sig, v6 −1.356% sig, the same sign in every population. On-title TVT is flat for all three arms.</w:t>
      </w:r>
    </w:p>
    <w:p>
      <w:pPr/>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~2.8% of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1,953,602</w:t>
            </w:r>
          </w:p>
        </w:tc>
        <w:tc>
          <w:tcPr>
            <w:tcW w:type="dxa" w:w="1728"/>
          </w:tcPr>
          <w:p>
            <w:r>
              <w:t>−0.021% [−0.474, +0.433]</w:t>
            </w:r>
          </w:p>
        </w:tc>
        <w:tc>
          <w:tcPr>
            <w:tcW w:type="dxa" w:w="1728"/>
          </w:tcPr>
          <w:p>
            <w:r>
              <w:t>No</w:t>
            </w:r>
          </w:p>
        </w:tc>
      </w:tr>
      <w:tr>
        <w:tc>
          <w:tcPr>
            <w:tcW w:type="dxa" w:w="1728"/>
          </w:tcPr>
          <w:p>
            <w:r>
              <w:t>Non-power viewers</w:t>
            </w:r>
          </w:p>
        </w:tc>
        <w:tc>
          <w:tcPr>
            <w:tcW w:type="dxa" w:w="1728"/>
          </w:tcPr>
          <w:p>
            <w:r>
              <w:t>v5b</w:t>
            </w:r>
          </w:p>
        </w:tc>
        <w:tc>
          <w:tcPr>
            <w:tcW w:type="dxa" w:w="1728"/>
          </w:tcPr>
          <w:p>
            <w:r>
              <w:t>1,953,577</w:t>
            </w:r>
          </w:p>
        </w:tc>
        <w:tc>
          <w:tcPr>
            <w:tcW w:type="dxa" w:w="1728"/>
          </w:tcPr>
          <w:p>
            <w:r>
              <w:t>−0.399% [−0.852, +0.053]</w:t>
            </w:r>
          </w:p>
        </w:tc>
        <w:tc>
          <w:tcPr>
            <w:tcW w:type="dxa" w:w="1728"/>
          </w:tcPr>
          <w:p>
            <w:r>
              <w:t>No</w:t>
            </w:r>
          </w:p>
        </w:tc>
      </w:tr>
      <w:tr>
        <w:tc>
          <w:tcPr>
            <w:tcW w:type="dxa" w:w="1728"/>
          </w:tcPr>
          <w:p>
            <w:r>
              <w:t>Non-power viewers</w:t>
            </w:r>
          </w:p>
        </w:tc>
        <w:tc>
          <w:tcPr>
            <w:tcW w:type="dxa" w:w="1728"/>
          </w:tcPr>
          <w:p>
            <w:r>
              <w:t>v6</w:t>
            </w:r>
          </w:p>
        </w:tc>
        <w:tc>
          <w:tcPr>
            <w:tcW w:type="dxa" w:w="1728"/>
          </w:tcPr>
          <w:p>
            <w:r>
              <w:t>1,956,226</w:t>
            </w:r>
          </w:p>
        </w:tc>
        <w:tc>
          <w:tcPr>
            <w:tcW w:type="dxa" w:w="1728"/>
          </w:tcPr>
          <w:p>
            <w:r>
              <w:t>−0.195% [−0.647, +0.257]</w:t>
            </w:r>
          </w:p>
        </w:tc>
        <w:tc>
          <w:tcPr>
            <w:tcW w:type="dxa" w:w="1728"/>
          </w:tcPr>
          <w:p>
            <w:r>
              <w:t>No</w:t>
            </w:r>
          </w:p>
        </w:tc>
      </w:tr>
      <w:tr>
        <w:tc>
          <w:tcPr>
            <w:tcW w:type="dxa" w:w="1728"/>
          </w:tcPr>
          <w:p>
            <w:r>
              <w:t>Power viewers</w:t>
            </w:r>
          </w:p>
        </w:tc>
        <w:tc>
          <w:tcPr>
            <w:tcW w:type="dxa" w:w="1728"/>
          </w:tcPr>
          <w:p>
            <w:r>
              <w:t>v4</w:t>
            </w:r>
          </w:p>
        </w:tc>
        <w:tc>
          <w:tcPr>
            <w:tcW w:type="dxa" w:w="1728"/>
          </w:tcPr>
          <w:p>
            <w:r>
              <w:t>55,635</w:t>
            </w:r>
          </w:p>
        </w:tc>
        <w:tc>
          <w:tcPr>
            <w:tcW w:type="dxa" w:w="1728"/>
          </w:tcPr>
          <w:p>
            <w:r>
              <w:t>+0.167% [−0.555, +0.889]</w:t>
            </w:r>
          </w:p>
        </w:tc>
        <w:tc>
          <w:tcPr>
            <w:tcW w:type="dxa" w:w="1728"/>
          </w:tcPr>
          <w:p>
            <w:r>
              <w:t>No</w:t>
            </w:r>
          </w:p>
        </w:tc>
      </w:tr>
      <w:tr>
        <w:tc>
          <w:tcPr>
            <w:tcW w:type="dxa" w:w="1728"/>
          </w:tcPr>
          <w:p>
            <w:r>
              <w:t>Power viewers</w:t>
            </w:r>
          </w:p>
        </w:tc>
        <w:tc>
          <w:tcPr>
            <w:tcW w:type="dxa" w:w="1728"/>
          </w:tcPr>
          <w:p>
            <w:r>
              <w:t>v5b</w:t>
            </w:r>
          </w:p>
        </w:tc>
        <w:tc>
          <w:tcPr>
            <w:tcW w:type="dxa" w:w="1728"/>
          </w:tcPr>
          <w:p>
            <w:r>
              <w:t>55,188</w:t>
            </w:r>
          </w:p>
        </w:tc>
        <w:tc>
          <w:tcPr>
            <w:tcW w:type="dxa" w:w="1728"/>
          </w:tcPr>
          <w:p>
            <w:r>
              <w:t>−0.261% [−0.984, +0.462]</w:t>
            </w:r>
          </w:p>
        </w:tc>
        <w:tc>
          <w:tcPr>
            <w:tcW w:type="dxa" w:w="1728"/>
          </w:tcPr>
          <w:p>
            <w:r>
              <w:t>No</w:t>
            </w:r>
          </w:p>
        </w:tc>
      </w:tr>
      <w:tr>
        <w:tc>
          <w:tcPr>
            <w:tcW w:type="dxa" w:w="1728"/>
          </w:tcPr>
          <w:p>
            <w:r>
              <w:t>Power viewers</w:t>
            </w:r>
          </w:p>
        </w:tc>
        <w:tc>
          <w:tcPr>
            <w:tcW w:type="dxa" w:w="1728"/>
          </w:tcPr>
          <w:p>
            <w:r>
              <w:t>v6</w:t>
            </w:r>
          </w:p>
        </w:tc>
        <w:tc>
          <w:tcPr>
            <w:tcW w:type="dxa" w:w="1728"/>
          </w:tcPr>
          <w:p>
            <w:r>
              <w:t>55,529</w:t>
            </w:r>
          </w:p>
        </w:tc>
        <w:tc>
          <w:tcPr>
            <w:tcW w:type="dxa" w:w="1728"/>
          </w:tcPr>
          <w:p>
            <w:r>
              <w:t>+0.064% [−0.656, +0.785]</w:t>
            </w:r>
          </w:p>
        </w:tc>
        <w:tc>
          <w:tcPr>
            <w:tcW w:type="dxa" w:w="1728"/>
          </w:tcPr>
          <w:p>
            <w:r>
              <w:t>No</w:t>
            </w:r>
          </w:p>
        </w:tc>
      </w:tr>
    </w:tbl>
    <w:p/>
    <w:p>
      <w:pPr/>
      <w:r>
        <w:t>Control n: non-power 1,955,319 · power 55,352. No arm moves TVT significantly for either viewer type (v5b non-power −0.399% ns, power −0.261% ns). Power viewers are a small share on mobile (~2.8%), so their intervals are wide.</w:t>
      </w:r>
    </w:p>
    <w:p>
      <w:pPr>
        <w:pStyle w:val="Heading1"/>
      </w:pPr>
      <w:r>
        <w:t>2. Where the result lives</w:t>
      </w:r>
    </w:p>
    <w:p>
      <w:pPr/>
      <w:r>
        <w:t>Band and movie/episode numbers below are raw device-level Welch lifts (unbudgeted revenue/impressions, not CUPED), among devices who watched at least one treated title in that band or type during the window. The same device can appear in more than one band.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−5.68% [−7.58, −3.77] sig</w:t>
            </w:r>
          </w:p>
        </w:tc>
        <w:tc>
          <w:tcPr>
            <w:tcW w:type="dxa" w:w="1440"/>
          </w:tcPr>
          <w:p>
            <w:r>
              <w:t>+0.39% ns</w:t>
            </w:r>
          </w:p>
        </w:tc>
        <w:tc>
          <w:tcPr>
            <w:tcW w:type="dxa" w:w="1440"/>
          </w:tcPr>
          <w:p>
            <w:r>
              <w:t>−6.11% [−7.92, −4.30] sig</w:t>
            </w:r>
          </w:p>
        </w:tc>
        <w:tc>
          <w:tcPr>
            <w:tcW w:type="dxa" w:w="1440"/>
          </w:tcPr>
          <w:p>
            <w:r>
              <w:t>251,714</w:t>
            </w:r>
          </w:p>
        </w:tc>
      </w:tr>
      <w:tr>
        <w:tc>
          <w:tcPr>
            <w:tcW w:type="dxa" w:w="1440"/>
          </w:tcPr>
          <w:p>
            <w:r>
              <w:t>1–3</w:t>
            </w:r>
          </w:p>
        </w:tc>
        <w:tc>
          <w:tcPr>
            <w:tcW w:type="dxa" w:w="1440"/>
          </w:tcPr>
          <w:p>
            <w:r>
              <w:t>v5b</w:t>
            </w:r>
          </w:p>
        </w:tc>
        <w:tc>
          <w:tcPr>
            <w:tcW w:type="dxa" w:w="1440"/>
          </w:tcPr>
          <w:p>
            <w:r>
              <w:t>+1.70% [−0.23, +3.63] ns</w:t>
            </w:r>
          </w:p>
        </w:tc>
        <w:tc>
          <w:tcPr>
            <w:tcW w:type="dxa" w:w="1440"/>
          </w:tcPr>
          <w:p>
            <w:r>
              <w:t>−0.94% ns</w:t>
            </w:r>
          </w:p>
        </w:tc>
        <w:tc>
          <w:tcPr>
            <w:tcW w:type="dxa" w:w="1440"/>
          </w:tcPr>
          <w:p>
            <w:r>
              <w:t>+1.80% [−0.06, +3.65] ns</w:t>
            </w:r>
          </w:p>
        </w:tc>
        <w:tc>
          <w:tcPr>
            <w:tcW w:type="dxa" w:w="1440"/>
          </w:tcPr>
          <w:p>
            <w:r>
              <w:t>251,280</w:t>
            </w:r>
          </w:p>
        </w:tc>
      </w:tr>
      <w:tr>
        <w:tc>
          <w:tcPr>
            <w:tcW w:type="dxa" w:w="1440"/>
          </w:tcPr>
          <w:p>
            <w:r>
              <w:t>1–3</w:t>
            </w:r>
          </w:p>
        </w:tc>
        <w:tc>
          <w:tcPr>
            <w:tcW w:type="dxa" w:w="1440"/>
          </w:tcPr>
          <w:p>
            <w:r>
              <w:t>v6</w:t>
            </w:r>
          </w:p>
        </w:tc>
        <w:tc>
          <w:tcPr>
            <w:tcW w:type="dxa" w:w="1440"/>
          </w:tcPr>
          <w:p>
            <w:r>
              <w:t>−7.16% [−9.01, −5.30] sig</w:t>
            </w:r>
          </w:p>
        </w:tc>
        <w:tc>
          <w:tcPr>
            <w:tcW w:type="dxa" w:w="1440"/>
          </w:tcPr>
          <w:p>
            <w:r>
              <w:t>−1.07% ns</w:t>
            </w:r>
          </w:p>
        </w:tc>
        <w:tc>
          <w:tcPr>
            <w:tcW w:type="dxa" w:w="1440"/>
          </w:tcPr>
          <w:p>
            <w:r>
              <w:t>−7.34% [−9.13, −5.55] sig</w:t>
            </w:r>
          </w:p>
        </w:tc>
        <w:tc>
          <w:tcPr>
            <w:tcW w:type="dxa" w:w="1440"/>
          </w:tcPr>
          <w:p>
            <w:r>
              <w:t>252,589</w:t>
            </w:r>
          </w:p>
        </w:tc>
      </w:tr>
      <w:tr>
        <w:tc>
          <w:tcPr>
            <w:tcW w:type="dxa" w:w="1440"/>
          </w:tcPr>
          <w:p>
            <w:r>
              <w:t>4–6</w:t>
            </w:r>
          </w:p>
        </w:tc>
        <w:tc>
          <w:tcPr>
            <w:tcW w:type="dxa" w:w="1440"/>
          </w:tcPr>
          <w:p>
            <w:r>
              <w:t>v4</w:t>
            </w:r>
          </w:p>
        </w:tc>
        <w:tc>
          <w:tcPr>
            <w:tcW w:type="dxa" w:w="1440"/>
          </w:tcPr>
          <w:p>
            <w:r>
              <w:t>−2.62% [−4.24, −1.00] sig</w:t>
            </w:r>
          </w:p>
        </w:tc>
        <w:tc>
          <w:tcPr>
            <w:tcW w:type="dxa" w:w="1440"/>
          </w:tcPr>
          <w:p>
            <w:r>
              <w:t>+0.72% ns</w:t>
            </w:r>
          </w:p>
        </w:tc>
        <w:tc>
          <w:tcPr>
            <w:tcW w:type="dxa" w:w="1440"/>
          </w:tcPr>
          <w:p>
            <w:r>
              <w:t>−3.48% [−4.99, −1.97] sig</w:t>
            </w:r>
          </w:p>
        </w:tc>
        <w:tc>
          <w:tcPr>
            <w:tcW w:type="dxa" w:w="1440"/>
          </w:tcPr>
          <w:p>
            <w:r>
              <w:t>312,893</w:t>
            </w:r>
          </w:p>
        </w:tc>
      </w:tr>
      <w:tr>
        <w:tc>
          <w:tcPr>
            <w:tcW w:type="dxa" w:w="1440"/>
          </w:tcPr>
          <w:p>
            <w:r>
              <w:t>4–6</w:t>
            </w:r>
          </w:p>
        </w:tc>
        <w:tc>
          <w:tcPr>
            <w:tcW w:type="dxa" w:w="1440"/>
          </w:tcPr>
          <w:p>
            <w:r>
              <w:t>v5b</w:t>
            </w:r>
          </w:p>
        </w:tc>
        <w:tc>
          <w:tcPr>
            <w:tcW w:type="dxa" w:w="1440"/>
          </w:tcPr>
          <w:p>
            <w:r>
              <w:t>+4.04% [+2.39, +5.70] sig</w:t>
            </w:r>
          </w:p>
        </w:tc>
        <w:tc>
          <w:tcPr>
            <w:tcW w:type="dxa" w:w="1440"/>
          </w:tcPr>
          <w:p>
            <w:r>
              <w:t>+0.50% ns</w:t>
            </w:r>
          </w:p>
        </w:tc>
        <w:tc>
          <w:tcPr>
            <w:tcW w:type="dxa" w:w="1440"/>
          </w:tcPr>
          <w:p>
            <w:r>
              <w:t>+4.00% [+2.43, +5.57] sig</w:t>
            </w:r>
          </w:p>
        </w:tc>
        <w:tc>
          <w:tcPr>
            <w:tcW w:type="dxa" w:w="1440"/>
          </w:tcPr>
          <w:p>
            <w:r>
              <w:t>311,934</w:t>
            </w:r>
          </w:p>
        </w:tc>
      </w:tr>
      <w:tr>
        <w:tc>
          <w:tcPr>
            <w:tcW w:type="dxa" w:w="1440"/>
          </w:tcPr>
          <w:p>
            <w:r>
              <w:t>4–6</w:t>
            </w:r>
          </w:p>
        </w:tc>
        <w:tc>
          <w:tcPr>
            <w:tcW w:type="dxa" w:w="1440"/>
          </w:tcPr>
          <w:p>
            <w:r>
              <w:t>v6</w:t>
            </w:r>
          </w:p>
        </w:tc>
        <w:tc>
          <w:tcPr>
            <w:tcW w:type="dxa" w:w="1440"/>
          </w:tcPr>
          <w:p>
            <w:r>
              <w:t>−4.42% [−6.01, −2.82] sig</w:t>
            </w:r>
          </w:p>
        </w:tc>
        <w:tc>
          <w:tcPr>
            <w:tcW w:type="dxa" w:w="1440"/>
          </w:tcPr>
          <w:p>
            <w:r>
              <w:t>−0.33% ns</w:t>
            </w:r>
          </w:p>
        </w:tc>
        <w:tc>
          <w:tcPr>
            <w:tcW w:type="dxa" w:w="1440"/>
          </w:tcPr>
          <w:p>
            <w:r>
              <w:t>−4.87% [−6.37, −3.38] sig</w:t>
            </w:r>
          </w:p>
        </w:tc>
        <w:tc>
          <w:tcPr>
            <w:tcW w:type="dxa" w:w="1440"/>
          </w:tcPr>
          <w:p>
            <w:r>
              <w:t>313,568</w:t>
            </w:r>
          </w:p>
        </w:tc>
      </w:tr>
      <w:tr>
        <w:tc>
          <w:tcPr>
            <w:tcW w:type="dxa" w:w="1440"/>
          </w:tcPr>
          <w:p>
            <w:r>
              <w:t>7–9</w:t>
            </w:r>
          </w:p>
        </w:tc>
        <w:tc>
          <w:tcPr>
            <w:tcW w:type="dxa" w:w="1440"/>
          </w:tcPr>
          <w:p>
            <w:r>
              <w:t>v4</w:t>
            </w:r>
          </w:p>
        </w:tc>
        <w:tc>
          <w:tcPr>
            <w:tcW w:type="dxa" w:w="1440"/>
          </w:tcPr>
          <w:p>
            <w:r>
              <w:t>−2.96% [−4.55, −1.37] sig</w:t>
            </w:r>
          </w:p>
        </w:tc>
        <w:tc>
          <w:tcPr>
            <w:tcW w:type="dxa" w:w="1440"/>
          </w:tcPr>
          <w:p>
            <w:r>
              <w:t>−0.30% ns</w:t>
            </w:r>
          </w:p>
        </w:tc>
        <w:tc>
          <w:tcPr>
            <w:tcW w:type="dxa" w:w="1440"/>
          </w:tcPr>
          <w:p>
            <w:r>
              <w:t>−4.01% [−5.50, −2.52] sig</w:t>
            </w:r>
          </w:p>
        </w:tc>
        <w:tc>
          <w:tcPr>
            <w:tcW w:type="dxa" w:w="1440"/>
          </w:tcPr>
          <w:p>
            <w:r>
              <w:t>348,154</w:t>
            </w:r>
          </w:p>
        </w:tc>
      </w:tr>
      <w:tr>
        <w:tc>
          <w:tcPr>
            <w:tcW w:type="dxa" w:w="1440"/>
          </w:tcPr>
          <w:p>
            <w:r>
              <w:t>7–9</w:t>
            </w:r>
          </w:p>
        </w:tc>
        <w:tc>
          <w:tcPr>
            <w:tcW w:type="dxa" w:w="1440"/>
          </w:tcPr>
          <w:p>
            <w:r>
              <w:t>v5b</w:t>
            </w:r>
          </w:p>
        </w:tc>
        <w:tc>
          <w:tcPr>
            <w:tcW w:type="dxa" w:w="1440"/>
          </w:tcPr>
          <w:p>
            <w:r>
              <w:t>+2.70% [+1.06, +4.34] sig</w:t>
            </w:r>
          </w:p>
        </w:tc>
        <w:tc>
          <w:tcPr>
            <w:tcW w:type="dxa" w:w="1440"/>
          </w:tcPr>
          <w:p>
            <w:r>
              <w:t>+0.28% ns</w:t>
            </w:r>
          </w:p>
        </w:tc>
        <w:tc>
          <w:tcPr>
            <w:tcW w:type="dxa" w:w="1440"/>
          </w:tcPr>
          <w:p>
            <w:r>
              <w:t>+2.34% [+0.78, +3.89] sig</w:t>
            </w:r>
          </w:p>
        </w:tc>
        <w:tc>
          <w:tcPr>
            <w:tcW w:type="dxa" w:w="1440"/>
          </w:tcPr>
          <w:p>
            <w:r>
              <w:t>346,821</w:t>
            </w:r>
          </w:p>
        </w:tc>
      </w:tr>
      <w:tr>
        <w:tc>
          <w:tcPr>
            <w:tcW w:type="dxa" w:w="1440"/>
          </w:tcPr>
          <w:p>
            <w:r>
              <w:t>7–9</w:t>
            </w:r>
          </w:p>
        </w:tc>
        <w:tc>
          <w:tcPr>
            <w:tcW w:type="dxa" w:w="1440"/>
          </w:tcPr>
          <w:p>
            <w:r>
              <w:t>v6</w:t>
            </w:r>
          </w:p>
        </w:tc>
        <w:tc>
          <w:tcPr>
            <w:tcW w:type="dxa" w:w="1440"/>
          </w:tcPr>
          <w:p>
            <w:r>
              <w:t>−1.34% [−2.95, +0.27] ns</w:t>
            </w:r>
          </w:p>
        </w:tc>
        <w:tc>
          <w:tcPr>
            <w:tcW w:type="dxa" w:w="1440"/>
          </w:tcPr>
          <w:p>
            <w:r>
              <w:t>+0.20% ns</w:t>
            </w:r>
          </w:p>
        </w:tc>
        <w:tc>
          <w:tcPr>
            <w:tcW w:type="dxa" w:w="1440"/>
          </w:tcPr>
          <w:p>
            <w:r>
              <w:t>−1.97% [−3.49, −0.46] sig</w:t>
            </w:r>
          </w:p>
        </w:tc>
        <w:tc>
          <w:tcPr>
            <w:tcW w:type="dxa" w:w="1440"/>
          </w:tcPr>
          <w:p>
            <w:r>
              <w:t>349,521</w:t>
            </w:r>
          </w:p>
        </w:tc>
      </w:tr>
      <w:tr>
        <w:tc>
          <w:tcPr>
            <w:tcW w:type="dxa" w:w="1440"/>
          </w:tcPr>
          <w:p>
            <w:r>
              <w:t>10–12</w:t>
            </w:r>
          </w:p>
        </w:tc>
        <w:tc>
          <w:tcPr>
            <w:tcW w:type="dxa" w:w="1440"/>
          </w:tcPr>
          <w:p>
            <w:r>
              <w:t>v4</w:t>
            </w:r>
          </w:p>
        </w:tc>
        <w:tc>
          <w:tcPr>
            <w:tcW w:type="dxa" w:w="1440"/>
          </w:tcPr>
          <w:p>
            <w:r>
              <w:t>+1.23% [+0.05, +2.41] sig</w:t>
            </w:r>
          </w:p>
        </w:tc>
        <w:tc>
          <w:tcPr>
            <w:tcW w:type="dxa" w:w="1440"/>
          </w:tcPr>
          <w:p>
            <w:r>
              <w:t>+0.34% ns</w:t>
            </w:r>
          </w:p>
        </w:tc>
        <w:tc>
          <w:tcPr>
            <w:tcW w:type="dxa" w:w="1440"/>
          </w:tcPr>
          <w:p>
            <w:r>
              <w:t>+1.54% [+0.46, +2.63] sig</w:t>
            </w:r>
          </w:p>
        </w:tc>
        <w:tc>
          <w:tcPr>
            <w:tcW w:type="dxa" w:w="1440"/>
          </w:tcPr>
          <w:p>
            <w:r>
              <w:t>420,521</w:t>
            </w:r>
          </w:p>
        </w:tc>
      </w:tr>
      <w:tr>
        <w:tc>
          <w:tcPr>
            <w:tcW w:type="dxa" w:w="1440"/>
          </w:tcPr>
          <w:p>
            <w:r>
              <w:t>10–12</w:t>
            </w:r>
          </w:p>
        </w:tc>
        <w:tc>
          <w:tcPr>
            <w:tcW w:type="dxa" w:w="1440"/>
          </w:tcPr>
          <w:p>
            <w:r>
              <w:t>v5b</w:t>
            </w:r>
          </w:p>
        </w:tc>
        <w:tc>
          <w:tcPr>
            <w:tcW w:type="dxa" w:w="1440"/>
          </w:tcPr>
          <w:p>
            <w:r>
              <w:t>+4.15% [+2.95, +5.35] sig</w:t>
            </w:r>
          </w:p>
        </w:tc>
        <w:tc>
          <w:tcPr>
            <w:tcW w:type="dxa" w:w="1440"/>
          </w:tcPr>
          <w:p>
            <w:r>
              <w:t>+0.47% ns</w:t>
            </w:r>
          </w:p>
        </w:tc>
        <w:tc>
          <w:tcPr>
            <w:tcW w:type="dxa" w:w="1440"/>
          </w:tcPr>
          <w:p>
            <w:r>
              <w:t>+4.10% [+3.01, +5.20] sig</w:t>
            </w:r>
          </w:p>
        </w:tc>
        <w:tc>
          <w:tcPr>
            <w:tcW w:type="dxa" w:w="1440"/>
          </w:tcPr>
          <w:p>
            <w:r>
              <w:t>420,589</w:t>
            </w:r>
          </w:p>
        </w:tc>
      </w:tr>
      <w:tr>
        <w:tc>
          <w:tcPr>
            <w:tcW w:type="dxa" w:w="1440"/>
          </w:tcPr>
          <w:p>
            <w:r>
              <w:t>10–12</w:t>
            </w:r>
          </w:p>
        </w:tc>
        <w:tc>
          <w:tcPr>
            <w:tcW w:type="dxa" w:w="1440"/>
          </w:tcPr>
          <w:p>
            <w:r>
              <w:t>v6</w:t>
            </w:r>
          </w:p>
        </w:tc>
        <w:tc>
          <w:tcPr>
            <w:tcW w:type="dxa" w:w="1440"/>
          </w:tcPr>
          <w:p>
            <w:r>
              <w:t>+4.76% [+3.56, +5.95] sig</w:t>
            </w:r>
          </w:p>
        </w:tc>
        <w:tc>
          <w:tcPr>
            <w:tcW w:type="dxa" w:w="1440"/>
          </w:tcPr>
          <w:p>
            <w:r>
              <w:t>+0.32% ns</w:t>
            </w:r>
          </w:p>
        </w:tc>
        <w:tc>
          <w:tcPr>
            <w:tcW w:type="dxa" w:w="1440"/>
          </w:tcPr>
          <w:p>
            <w:r>
              <w:t>+4.78% [+3.69, +5.88] sig</w:t>
            </w:r>
          </w:p>
        </w:tc>
        <w:tc>
          <w:tcPr>
            <w:tcW w:type="dxa" w:w="1440"/>
          </w:tcPr>
          <w:p>
            <w:r>
              <w:t>421,159</w:t>
            </w:r>
          </w:p>
        </w:tc>
      </w:tr>
      <w:tr>
        <w:tc>
          <w:tcPr>
            <w:tcW w:type="dxa" w:w="1440"/>
          </w:tcPr>
          <w:p>
            <w:r>
              <w:t>13+</w:t>
            </w:r>
          </w:p>
        </w:tc>
        <w:tc>
          <w:tcPr>
            <w:tcW w:type="dxa" w:w="1440"/>
          </w:tcPr>
          <w:p>
            <w:r>
              <w:t>v4</w:t>
            </w:r>
          </w:p>
        </w:tc>
        <w:tc>
          <w:tcPr>
            <w:tcW w:type="dxa" w:w="1440"/>
          </w:tcPr>
          <w:p>
            <w:r>
              <w:t>−1.69% [−2.67, −0.70] sig</w:t>
            </w:r>
          </w:p>
        </w:tc>
        <w:tc>
          <w:tcPr>
            <w:tcW w:type="dxa" w:w="1440"/>
          </w:tcPr>
          <w:p>
            <w:r>
              <w:t>−0.25% ns</w:t>
            </w:r>
          </w:p>
        </w:tc>
        <w:tc>
          <w:tcPr>
            <w:tcW w:type="dxa" w:w="1440"/>
          </w:tcPr>
          <w:p>
            <w:r>
              <w:t>−1.57% [−2.49, −0.66] sig</w:t>
            </w:r>
          </w:p>
        </w:tc>
        <w:tc>
          <w:tcPr>
            <w:tcW w:type="dxa" w:w="1440"/>
          </w:tcPr>
          <w:p>
            <w:r>
              <w:t>543,457</w:t>
            </w:r>
          </w:p>
        </w:tc>
      </w:tr>
      <w:tr>
        <w:tc>
          <w:tcPr>
            <w:tcW w:type="dxa" w:w="1440"/>
          </w:tcPr>
          <w:p>
            <w:r>
              <w:t>13+</w:t>
            </w:r>
          </w:p>
        </w:tc>
        <w:tc>
          <w:tcPr>
            <w:tcW w:type="dxa" w:w="1440"/>
          </w:tcPr>
          <w:p>
            <w:r>
              <w:t>v5b</w:t>
            </w:r>
          </w:p>
        </w:tc>
        <w:tc>
          <w:tcPr>
            <w:tcW w:type="dxa" w:w="1440"/>
          </w:tcPr>
          <w:p>
            <w:r>
              <w:t>−0.69% [−1.69, +0.31] ns</w:t>
            </w:r>
          </w:p>
        </w:tc>
        <w:tc>
          <w:tcPr>
            <w:tcW w:type="dxa" w:w="1440"/>
          </w:tcPr>
          <w:p>
            <w:r>
              <w:t>−0.43% ns</w:t>
            </w:r>
          </w:p>
        </w:tc>
        <w:tc>
          <w:tcPr>
            <w:tcW w:type="dxa" w:w="1440"/>
          </w:tcPr>
          <w:p>
            <w:r>
              <w:t>−0.85% [−1.77, +0.07] ns</w:t>
            </w:r>
          </w:p>
        </w:tc>
        <w:tc>
          <w:tcPr>
            <w:tcW w:type="dxa" w:w="1440"/>
          </w:tcPr>
          <w:p>
            <w:r>
              <w:t>541,796</w:t>
            </w:r>
          </w:p>
        </w:tc>
      </w:tr>
      <w:tr>
        <w:tc>
          <w:tcPr>
            <w:tcW w:type="dxa" w:w="1440"/>
          </w:tcPr>
          <w:p>
            <w:r>
              <w:t>13+</w:t>
            </w:r>
          </w:p>
        </w:tc>
        <w:tc>
          <w:tcPr>
            <w:tcW w:type="dxa" w:w="1440"/>
          </w:tcPr>
          <w:p>
            <w:r>
              <w:t>v6</w:t>
            </w:r>
          </w:p>
        </w:tc>
        <w:tc>
          <w:tcPr>
            <w:tcW w:type="dxa" w:w="1440"/>
          </w:tcPr>
          <w:p>
            <w:r>
              <w:t>+0.06% [−0.95, +1.06] ns</w:t>
            </w:r>
          </w:p>
        </w:tc>
        <w:tc>
          <w:tcPr>
            <w:tcW w:type="dxa" w:w="1440"/>
          </w:tcPr>
          <w:p>
            <w:r>
              <w:t>−1.09% sig</w:t>
            </w:r>
          </w:p>
        </w:tc>
        <w:tc>
          <w:tcPr>
            <w:tcW w:type="dxa" w:w="1440"/>
          </w:tcPr>
          <w:p>
            <w:r>
              <w:t>−0.14% [−1.06, +0.79] ns</w:t>
            </w:r>
          </w:p>
        </w:tc>
        <w:tc>
          <w:tcPr>
            <w:tcW w:type="dxa" w:w="1440"/>
          </w:tcPr>
          <w:p>
            <w:r>
              <w:t>544,666</w:t>
            </w:r>
          </w:p>
        </w:tc>
      </w:tr>
    </w:tbl>
    <w:p/>
    <w:p>
      <w:pPr/>
      <w:r>
        <w:t>Control n by band: 1–3 252,717 · 4–6 313,435 · 7–9 348,144 · 10–12 421,205 · 13+ 543,260.</w:t>
      </w:r>
    </w:p>
    <w:p>
      <w:pPr>
        <w:pStyle w:val="ListBullet"/>
      </w:pPr>
      <w:r>
        <w:t>1–3 and 4–6 are where v4/v6 lose: 1–3 v4 −5.68% sig, v6 −7.16% sig; 4–6 v4 −2.62% sig, v6 −4.42% sig. v5b is up in both (+1.70% ns, +4.04% sig). On OTT 1–3 was flat and the 4–6 losses were smaller (v4 −1.39%, v6 −2.07%).</w:t>
      </w:r>
    </w:p>
    <w:p>
      <w:pPr>
        <w:pStyle w:val="ListBullet"/>
      </w:pPr>
      <w:r>
        <w:t>10–12 is the positive pocket for every arm (v6 +4.76% sig, v5b +4.15% sig, v4 +1.23% sig).</w:t>
      </w:r>
    </w:p>
    <w:p>
      <w:pPr>
        <w:pStyle w:val="ListBullet"/>
      </w:pPr>
      <w:r>
        <w:t>7–9 gains on v5b (+2.70% sig) and loses on v4 (−2.96% sig). 13+ loses on v4 (−1.69% sig); v5b and v6 flat.</w:t>
      </w:r>
    </w:p>
    <w:p>
      <w:pPr>
        <w:pStyle w:val="ListBullet"/>
      </w:pPr>
      <w:r>
        <w:t>TVT is flat in every band except v6 13+ (−1.09% sig).</w:t>
      </w:r>
    </w:p>
    <w:p>
      <w:pPr>
        <w:pStyle w:val="Heading2"/>
      </w:pPr>
      <w:r>
        <w:t>2b. Below-control versus at-or-above-control</w:t>
      </w:r>
    </w:p>
    <w:p>
      <w:pPr/>
      <w:r>
        <w:t>Built from the served cue lists in `ml_dev.tmp.abf3_new_pruner_cuepoints` (snapshot 2026-10-08; T1 = v4, T2 = v6, T3 = v5b). Each dense-band title is tagged by whether that arm kept fewer cue points than its ABF2 control count or at or above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t>−7.38% [−9.46, −5.29] sig</w:t>
            </w:r>
          </w:p>
        </w:tc>
        <w:tc>
          <w:tcPr>
            <w:tcW w:type="dxa" w:w="1728"/>
          </w:tcPr>
          <w:p>
            <w:r>
              <w:t>+0.28% ns</w:t>
            </w:r>
          </w:p>
        </w:tc>
      </w:tr>
      <w:tr>
        <w:tc>
          <w:tcPr>
            <w:tcW w:type="dxa" w:w="1728"/>
          </w:tcPr>
          <w:p>
            <w:r>
              <w:t>10–12</w:t>
            </w:r>
          </w:p>
        </w:tc>
        <w:tc>
          <w:tcPr>
            <w:tcW w:type="dxa" w:w="1728"/>
          </w:tcPr>
          <w:p>
            <w:r>
              <w:t>below control</w:t>
            </w:r>
          </w:p>
        </w:tc>
        <w:tc>
          <w:tcPr>
            <w:tcW w:type="dxa" w:w="1728"/>
          </w:tcPr>
          <w:p>
            <w:r>
              <w:t>v5b</w:t>
            </w:r>
          </w:p>
        </w:tc>
        <w:tc>
          <w:tcPr>
            <w:tcW w:type="dxa" w:w="1728"/>
          </w:tcPr>
          <w:p>
            <w:r>
              <w:t>−1.15% [−4.57, +2.28] ns</w:t>
            </w:r>
          </w:p>
        </w:tc>
        <w:tc>
          <w:tcPr>
            <w:tcW w:type="dxa" w:w="1728"/>
          </w:tcPr>
          <w:p>
            <w:r>
              <w:t>+1.40% ns</w:t>
            </w:r>
          </w:p>
        </w:tc>
      </w:tr>
      <w:tr>
        <w:tc>
          <w:tcPr>
            <w:tcW w:type="dxa" w:w="1728"/>
          </w:tcPr>
          <w:p>
            <w:r>
              <w:t>10–12</w:t>
            </w:r>
          </w:p>
        </w:tc>
        <w:tc>
          <w:tcPr>
            <w:tcW w:type="dxa" w:w="1728"/>
          </w:tcPr>
          <w:p>
            <w:r>
              <w:t>below control</w:t>
            </w:r>
          </w:p>
        </w:tc>
        <w:tc>
          <w:tcPr>
            <w:tcW w:type="dxa" w:w="1728"/>
          </w:tcPr>
          <w:p>
            <w:r>
              <w:t>v6</w:t>
            </w:r>
          </w:p>
        </w:tc>
        <w:tc>
          <w:tcPr>
            <w:tcW w:type="dxa" w:w="1728"/>
          </w:tcPr>
          <w:p>
            <w:r>
              <w:t>−6.04% [−9.60, −2.48] sig</w:t>
            </w:r>
          </w:p>
        </w:tc>
        <w:tc>
          <w:tcPr>
            <w:tcW w:type="dxa" w:w="1728"/>
          </w:tcPr>
          <w:p>
            <w:r>
              <w:t>+1.00% ns</w:t>
            </w:r>
          </w:p>
        </w:tc>
      </w:tr>
      <w:tr>
        <w:tc>
          <w:tcPr>
            <w:tcW w:type="dxa" w:w="1728"/>
          </w:tcPr>
          <w:p>
            <w:r>
              <w:t>10–12</w:t>
            </w:r>
          </w:p>
        </w:tc>
        <w:tc>
          <w:tcPr>
            <w:tcW w:type="dxa" w:w="1728"/>
          </w:tcPr>
          <w:p>
            <w:r>
              <w:t>at/above control</w:t>
            </w:r>
          </w:p>
        </w:tc>
        <w:tc>
          <w:tcPr>
            <w:tcW w:type="dxa" w:w="1728"/>
          </w:tcPr>
          <w:p>
            <w:r>
              <w:t>v4</w:t>
            </w:r>
          </w:p>
        </w:tc>
        <w:tc>
          <w:tcPr>
            <w:tcW w:type="dxa" w:w="1728"/>
          </w:tcPr>
          <w:p>
            <w:r>
              <w:t>+4.71% [+3.30, +6.12] sig</w:t>
            </w:r>
          </w:p>
        </w:tc>
        <w:tc>
          <w:tcPr>
            <w:tcW w:type="dxa" w:w="1728"/>
          </w:tcPr>
          <w:p>
            <w:r>
              <w:t>+0.48% ns</w:t>
            </w:r>
          </w:p>
        </w:tc>
      </w:tr>
      <w:tr>
        <w:tc>
          <w:tcPr>
            <w:tcW w:type="dxa" w:w="1728"/>
          </w:tcPr>
          <w:p>
            <w:r>
              <w:t>10–12</w:t>
            </w:r>
          </w:p>
        </w:tc>
        <w:tc>
          <w:tcPr>
            <w:tcW w:type="dxa" w:w="1728"/>
          </w:tcPr>
          <w:p>
            <w:r>
              <w:t>at/above control</w:t>
            </w:r>
          </w:p>
        </w:tc>
        <w:tc>
          <w:tcPr>
            <w:tcW w:type="dxa" w:w="1728"/>
          </w:tcPr>
          <w:p>
            <w:r>
              <w:t>v5b</w:t>
            </w:r>
          </w:p>
        </w:tc>
        <w:tc>
          <w:tcPr>
            <w:tcW w:type="dxa" w:w="1728"/>
          </w:tcPr>
          <w:p>
            <w:r>
              <w:t>+5.34% [+4.02, +6.67] sig</w:t>
            </w:r>
          </w:p>
        </w:tc>
        <w:tc>
          <w:tcPr>
            <w:tcW w:type="dxa" w:w="1728"/>
          </w:tcPr>
          <w:p>
            <w:r>
              <w:t>+0.34% ns</w:t>
            </w:r>
          </w:p>
        </w:tc>
      </w:tr>
      <w:tr>
        <w:tc>
          <w:tcPr>
            <w:tcW w:type="dxa" w:w="1728"/>
          </w:tcPr>
          <w:p>
            <w:r>
              <w:t>10–12</w:t>
            </w:r>
          </w:p>
        </w:tc>
        <w:tc>
          <w:tcPr>
            <w:tcW w:type="dxa" w:w="1728"/>
          </w:tcPr>
          <w:p>
            <w:r>
              <w:t>at/above control</w:t>
            </w:r>
          </w:p>
        </w:tc>
        <w:tc>
          <w:tcPr>
            <w:tcW w:type="dxa" w:w="1728"/>
          </w:tcPr>
          <w:p>
            <w:r>
              <w:t>v6</w:t>
            </w:r>
          </w:p>
        </w:tc>
        <w:tc>
          <w:tcPr>
            <w:tcW w:type="dxa" w:w="1728"/>
          </w:tcPr>
          <w:p>
            <w:r>
              <w:t>+6.90% [+5.60, +8.21] sig</w:t>
            </w:r>
          </w:p>
        </w:tc>
        <w:tc>
          <w:tcPr>
            <w:tcW w:type="dxa" w:w="1728"/>
          </w:tcPr>
          <w:p>
            <w:r>
              <w:t>+0.13% ns</w:t>
            </w:r>
          </w:p>
        </w:tc>
      </w:tr>
      <w:tr>
        <w:tc>
          <w:tcPr>
            <w:tcW w:type="dxa" w:w="1728"/>
          </w:tcPr>
          <w:p>
            <w:r>
              <w:t>13+</w:t>
            </w:r>
          </w:p>
        </w:tc>
        <w:tc>
          <w:tcPr>
            <w:tcW w:type="dxa" w:w="1728"/>
          </w:tcPr>
          <w:p>
            <w:r>
              <w:t>below control</w:t>
            </w:r>
          </w:p>
        </w:tc>
        <w:tc>
          <w:tcPr>
            <w:tcW w:type="dxa" w:w="1728"/>
          </w:tcPr>
          <w:p>
            <w:r>
              <w:t>v4</w:t>
            </w:r>
          </w:p>
        </w:tc>
        <w:tc>
          <w:tcPr>
            <w:tcW w:type="dxa" w:w="1728"/>
          </w:tcPr>
          <w:p>
            <w:r>
              <w:t>−4.00% [−5.16, −2.84] sig</w:t>
            </w:r>
          </w:p>
        </w:tc>
        <w:tc>
          <w:tcPr>
            <w:tcW w:type="dxa" w:w="1728"/>
          </w:tcPr>
          <w:p>
            <w:r>
              <w:t>+0.00% ns</w:t>
            </w:r>
          </w:p>
        </w:tc>
      </w:tr>
      <w:tr>
        <w:tc>
          <w:tcPr>
            <w:tcW w:type="dxa" w:w="1728"/>
          </w:tcPr>
          <w:p>
            <w:r>
              <w:t>13+</w:t>
            </w:r>
          </w:p>
        </w:tc>
        <w:tc>
          <w:tcPr>
            <w:tcW w:type="dxa" w:w="1728"/>
          </w:tcPr>
          <w:p>
            <w:r>
              <w:t>below control</w:t>
            </w:r>
          </w:p>
        </w:tc>
        <w:tc>
          <w:tcPr>
            <w:tcW w:type="dxa" w:w="1728"/>
          </w:tcPr>
          <w:p>
            <w:r>
              <w:t>v5b</w:t>
            </w:r>
          </w:p>
        </w:tc>
        <w:tc>
          <w:tcPr>
            <w:tcW w:type="dxa" w:w="1728"/>
          </w:tcPr>
          <w:p>
            <w:r>
              <w:t>−3.23% [−4.51, −1.95] sig</w:t>
            </w:r>
          </w:p>
        </w:tc>
        <w:tc>
          <w:tcPr>
            <w:tcW w:type="dxa" w:w="1728"/>
          </w:tcPr>
          <w:p>
            <w:r>
              <w:t>−0.61% ns</w:t>
            </w:r>
          </w:p>
        </w:tc>
      </w:tr>
      <w:tr>
        <w:tc>
          <w:tcPr>
            <w:tcW w:type="dxa" w:w="1728"/>
          </w:tcPr>
          <w:p>
            <w:r>
              <w:t>13+</w:t>
            </w:r>
          </w:p>
        </w:tc>
        <w:tc>
          <w:tcPr>
            <w:tcW w:type="dxa" w:w="1728"/>
          </w:tcPr>
          <w:p>
            <w:r>
              <w:t>below control</w:t>
            </w:r>
          </w:p>
        </w:tc>
        <w:tc>
          <w:tcPr>
            <w:tcW w:type="dxa" w:w="1728"/>
          </w:tcPr>
          <w:p>
            <w:r>
              <w:t>v6</w:t>
            </w:r>
          </w:p>
        </w:tc>
        <w:tc>
          <w:tcPr>
            <w:tcW w:type="dxa" w:w="1728"/>
          </w:tcPr>
          <w:p>
            <w:r>
              <w:t>−2.88% [−4.37, −1.40] sig</w:t>
            </w:r>
          </w:p>
        </w:tc>
        <w:tc>
          <w:tcPr>
            <w:tcW w:type="dxa" w:w="1728"/>
          </w:tcPr>
          <w:p>
            <w:r>
              <w:t>−1.08% ns</w:t>
            </w:r>
          </w:p>
        </w:tc>
      </w:tr>
      <w:tr>
        <w:tc>
          <w:tcPr>
            <w:tcW w:type="dxa" w:w="1728"/>
          </w:tcPr>
          <w:p>
            <w:r>
              <w:t>13+</w:t>
            </w:r>
          </w:p>
        </w:tc>
        <w:tc>
          <w:tcPr>
            <w:tcW w:type="dxa" w:w="1728"/>
          </w:tcPr>
          <w:p>
            <w:r>
              <w:t>at/above control</w:t>
            </w:r>
          </w:p>
        </w:tc>
        <w:tc>
          <w:tcPr>
            <w:tcW w:type="dxa" w:w="1728"/>
          </w:tcPr>
          <w:p>
            <w:r>
              <w:t>v4</w:t>
            </w:r>
          </w:p>
        </w:tc>
        <w:tc>
          <w:tcPr>
            <w:tcW w:type="dxa" w:w="1728"/>
          </w:tcPr>
          <w:p>
            <w:r>
              <w:t>+2.36% [+0.78, +3.95] sig</w:t>
            </w:r>
          </w:p>
        </w:tc>
        <w:tc>
          <w:tcPr>
            <w:tcW w:type="dxa" w:w="1728"/>
          </w:tcPr>
          <w:p>
            <w:r>
              <w:t>−0.67% ns</w:t>
            </w:r>
          </w:p>
        </w:tc>
      </w:tr>
      <w:tr>
        <w:tc>
          <w:tcPr>
            <w:tcW w:type="dxa" w:w="1728"/>
          </w:tcPr>
          <w:p>
            <w:r>
              <w:t>13+</w:t>
            </w:r>
          </w:p>
        </w:tc>
        <w:tc>
          <w:tcPr>
            <w:tcW w:type="dxa" w:w="1728"/>
          </w:tcPr>
          <w:p>
            <w:r>
              <w:t>at/above control</w:t>
            </w:r>
          </w:p>
        </w:tc>
        <w:tc>
          <w:tcPr>
            <w:tcW w:type="dxa" w:w="1728"/>
          </w:tcPr>
          <w:p>
            <w:r>
              <w:t>v5b</w:t>
            </w:r>
          </w:p>
        </w:tc>
        <w:tc>
          <w:tcPr>
            <w:tcW w:type="dxa" w:w="1728"/>
          </w:tcPr>
          <w:p>
            <w:r>
              <w:t>+2.85% [+1.45, +4.25] sig</w:t>
            </w:r>
          </w:p>
        </w:tc>
        <w:tc>
          <w:tcPr>
            <w:tcW w:type="dxa" w:w="1728"/>
          </w:tcPr>
          <w:p>
            <w:r>
              <w:t>+0.08% ns</w:t>
            </w:r>
          </w:p>
        </w:tc>
      </w:tr>
      <w:tr>
        <w:tc>
          <w:tcPr>
            <w:tcW w:type="dxa" w:w="1728"/>
          </w:tcPr>
          <w:p>
            <w:r>
              <w:t>13+</w:t>
            </w:r>
          </w:p>
        </w:tc>
        <w:tc>
          <w:tcPr>
            <w:tcW w:type="dxa" w:w="1728"/>
          </w:tcPr>
          <w:p>
            <w:r>
              <w:t>at/above control</w:t>
            </w:r>
          </w:p>
        </w:tc>
        <w:tc>
          <w:tcPr>
            <w:tcW w:type="dxa" w:w="1728"/>
          </w:tcPr>
          <w:p>
            <w:r>
              <w:t>v6</w:t>
            </w:r>
          </w:p>
        </w:tc>
        <w:tc>
          <w:tcPr>
            <w:tcW w:type="dxa" w:w="1728"/>
          </w:tcPr>
          <w:p>
            <w:r>
              <w:t>+2.42% [+1.20, +3.63] sig</w:t>
            </w:r>
          </w:p>
        </w:tc>
        <w:tc>
          <w:tcPr>
            <w:tcW w:type="dxa" w:w="1728"/>
          </w:tcPr>
          <w:p>
            <w:r>
              <w:t>−1.17% [−2.04, −0.30] sig</w:t>
            </w:r>
          </w:p>
        </w:tc>
      </w:tr>
    </w:tbl>
    <w:p/>
    <w:p>
      <w:pPr/>
      <w:r>
        <w:t>This reproduces the v8 and OTT defect on mobile: titles served below control lose 1–7% unbudgeted revenue, titles kept at or above control gain 2–7%, with little TVT give-back (the exception is v6 13+ at/above, TVT −1.17% sig). A per-title floor (never serve fewer cue points than ABF2) helps mobile as much as OTT.</w:t>
      </w:r>
    </w:p>
    <w:p>
      <w:pPr>
        <w:pStyle w:val="Heading2"/>
      </w:pPr>
      <w:r>
        <w:t>2c. Movies versus episodes</w:t>
      </w:r>
    </w:p>
    <w:p>
      <w:pPr/>
      <w:r>
        <w:t>Device-level raw Welch, unbudgeted revenue/impressions, among devices who watched a treated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+0.35% [−0.52, +1.22] ns</w:t>
            </w:r>
          </w:p>
        </w:tc>
        <w:tc>
          <w:tcPr>
            <w:tcW w:type="dxa" w:w="1440"/>
          </w:tcPr>
          <w:p>
            <w:r>
              <w:t>−0.10% ns</w:t>
            </w:r>
          </w:p>
        </w:tc>
        <w:tc>
          <w:tcPr>
            <w:tcW w:type="dxa" w:w="1440"/>
          </w:tcPr>
          <w:p>
            <w:r>
              <w:t>+0.45% ns</w:t>
            </w:r>
          </w:p>
        </w:tc>
        <w:tc>
          <w:tcPr>
            <w:tcW w:type="dxa" w:w="1440"/>
          </w:tcPr>
          <w:p>
            <w:r>
              <w:t>744,261</w:t>
            </w:r>
          </w:p>
        </w:tc>
      </w:tr>
      <w:tr>
        <w:tc>
          <w:tcPr>
            <w:tcW w:type="dxa" w:w="1440"/>
          </w:tcPr>
          <w:p>
            <w:r>
              <w:t>Movie</w:t>
            </w:r>
          </w:p>
        </w:tc>
        <w:tc>
          <w:tcPr>
            <w:tcW w:type="dxa" w:w="1440"/>
          </w:tcPr>
          <w:p>
            <w:r>
              <w:t>v5b</w:t>
            </w:r>
          </w:p>
        </w:tc>
        <w:tc>
          <w:tcPr>
            <w:tcW w:type="dxa" w:w="1440"/>
          </w:tcPr>
          <w:p>
            <w:r>
              <w:t>+1.82% [+0.93, +2.70] sig</w:t>
            </w:r>
          </w:p>
        </w:tc>
        <w:tc>
          <w:tcPr>
            <w:tcW w:type="dxa" w:w="1440"/>
          </w:tcPr>
          <w:p>
            <w:r>
              <w:t>−0.29% ns</w:t>
            </w:r>
          </w:p>
        </w:tc>
        <w:tc>
          <w:tcPr>
            <w:tcW w:type="dxa" w:w="1440"/>
          </w:tcPr>
          <w:p>
            <w:r>
              <w:t>+1.71% sig</w:t>
            </w:r>
          </w:p>
        </w:tc>
        <w:tc>
          <w:tcPr>
            <w:tcW w:type="dxa" w:w="1440"/>
          </w:tcPr>
          <w:p>
            <w:r>
              <w:t>743,191</w:t>
            </w:r>
          </w:p>
        </w:tc>
      </w:tr>
      <w:tr>
        <w:tc>
          <w:tcPr>
            <w:tcW w:type="dxa" w:w="1440"/>
          </w:tcPr>
          <w:p>
            <w:r>
              <w:t>Movie</w:t>
            </w:r>
          </w:p>
        </w:tc>
        <w:tc>
          <w:tcPr>
            <w:tcW w:type="dxa" w:w="1440"/>
          </w:tcPr>
          <w:p>
            <w:r>
              <w:t>v6</w:t>
            </w:r>
          </w:p>
        </w:tc>
        <w:tc>
          <w:tcPr>
            <w:tcW w:type="dxa" w:w="1440"/>
          </w:tcPr>
          <w:p>
            <w:r>
              <w:t>+2.89% [+2.01, +3.78] sig</w:t>
            </w:r>
          </w:p>
        </w:tc>
        <w:tc>
          <w:tcPr>
            <w:tcW w:type="dxa" w:w="1440"/>
          </w:tcPr>
          <w:p>
            <w:r>
              <w:t>−0.52% ns</w:t>
            </w:r>
          </w:p>
        </w:tc>
        <w:tc>
          <w:tcPr>
            <w:tcW w:type="dxa" w:w="1440"/>
          </w:tcPr>
          <w:p>
            <w:r>
              <w:t>+2.77% sig</w:t>
            </w:r>
          </w:p>
        </w:tc>
        <w:tc>
          <w:tcPr>
            <w:tcW w:type="dxa" w:w="1440"/>
          </w:tcPr>
          <w:p>
            <w:r>
              <w:t>745,266</w:t>
            </w:r>
          </w:p>
        </w:tc>
      </w:tr>
      <w:tr>
        <w:tc>
          <w:tcPr>
            <w:tcW w:type="dxa" w:w="1440"/>
          </w:tcPr>
          <w:p>
            <w:r>
              <w:t>Episode</w:t>
            </w:r>
          </w:p>
        </w:tc>
        <w:tc>
          <w:tcPr>
            <w:tcW w:type="dxa" w:w="1440"/>
          </w:tcPr>
          <w:p>
            <w:r>
              <w:t>v4</w:t>
            </w:r>
          </w:p>
        </w:tc>
        <w:tc>
          <w:tcPr>
            <w:tcW w:type="dxa" w:w="1440"/>
          </w:tcPr>
          <w:p>
            <w:r>
              <w:t>−4.80% [−6.07, −3.52] sig</w:t>
            </w:r>
          </w:p>
        </w:tc>
        <w:tc>
          <w:tcPr>
            <w:tcW w:type="dxa" w:w="1440"/>
          </w:tcPr>
          <w:p>
            <w:r>
              <w:t>+0.45% ns</w:t>
            </w:r>
          </w:p>
        </w:tc>
        <w:tc>
          <w:tcPr>
            <w:tcW w:type="dxa" w:w="1440"/>
          </w:tcPr>
          <w:p>
            <w:r>
              <w:t>−5.53% sig</w:t>
            </w:r>
          </w:p>
        </w:tc>
        <w:tc>
          <w:tcPr>
            <w:tcW w:type="dxa" w:w="1440"/>
          </w:tcPr>
          <w:p>
            <w:r>
              <w:t>456,095</w:t>
            </w:r>
          </w:p>
        </w:tc>
      </w:tr>
      <w:tr>
        <w:tc>
          <w:tcPr>
            <w:tcW w:type="dxa" w:w="1440"/>
          </w:tcPr>
          <w:p>
            <w:r>
              <w:t>Episode</w:t>
            </w:r>
          </w:p>
        </w:tc>
        <w:tc>
          <w:tcPr>
            <w:tcW w:type="dxa" w:w="1440"/>
          </w:tcPr>
          <w:p>
            <w:r>
              <w:t>v5b</w:t>
            </w:r>
          </w:p>
        </w:tc>
        <w:tc>
          <w:tcPr>
            <w:tcW w:type="dxa" w:w="1440"/>
          </w:tcPr>
          <w:p>
            <w:r>
              <w:t>+2.09% [+0.79, +3.39] sig</w:t>
            </w:r>
          </w:p>
        </w:tc>
        <w:tc>
          <w:tcPr>
            <w:tcW w:type="dxa" w:w="1440"/>
          </w:tcPr>
          <w:p>
            <w:r>
              <w:t>−0.11% ns</w:t>
            </w:r>
          </w:p>
        </w:tc>
        <w:tc>
          <w:tcPr>
            <w:tcW w:type="dxa" w:w="1440"/>
          </w:tcPr>
          <w:p>
            <w:r>
              <w:t>+2.02% sig</w:t>
            </w:r>
          </w:p>
        </w:tc>
        <w:tc>
          <w:tcPr>
            <w:tcW w:type="dxa" w:w="1440"/>
          </w:tcPr>
          <w:p>
            <w:r>
              <w:t>455,641</w:t>
            </w:r>
          </w:p>
        </w:tc>
      </w:tr>
      <w:tr>
        <w:tc>
          <w:tcPr>
            <w:tcW w:type="dxa" w:w="1440"/>
          </w:tcPr>
          <w:p>
            <w:r>
              <w:t>Episode</w:t>
            </w:r>
          </w:p>
        </w:tc>
        <w:tc>
          <w:tcPr>
            <w:tcW w:type="dxa" w:w="1440"/>
          </w:tcPr>
          <w:p>
            <w:r>
              <w:t>v6</w:t>
            </w:r>
          </w:p>
        </w:tc>
        <w:tc>
          <w:tcPr>
            <w:tcW w:type="dxa" w:w="1440"/>
          </w:tcPr>
          <w:p>
            <w:r>
              <w:t>−6.03% [−7.28, −4.77] sig</w:t>
            </w:r>
          </w:p>
        </w:tc>
        <w:tc>
          <w:tcPr>
            <w:tcW w:type="dxa" w:w="1440"/>
          </w:tcPr>
          <w:p>
            <w:r>
              <w:t>−0.52% ns</w:t>
            </w:r>
          </w:p>
        </w:tc>
        <w:tc>
          <w:tcPr>
            <w:tcW w:type="dxa" w:w="1440"/>
          </w:tcPr>
          <w:p>
            <w:r>
              <w:t>−6.41% sig</w:t>
            </w:r>
          </w:p>
        </w:tc>
        <w:tc>
          <w:tcPr>
            <w:tcW w:type="dxa" w:w="1440"/>
          </w:tcPr>
          <w:p>
            <w:r>
              <w:t>458,018</w:t>
            </w:r>
          </w:p>
        </w:tc>
      </w:tr>
    </w:tbl>
    <w:p/>
    <w:p>
      <w:pPr/>
      <w:r>
        <w:t>Control n: movies 744,735 · episodes 457,156. Episodes split the arms: v5b +2.09% sig, v4 −4.80% sig, v6 −6.03% sig. On OTT every arm lost on episodes; on mobile v5b gains. Movies gain on v6 and v5b; v4 flat. TVT is flat for every arm and type.</w:t>
      </w:r>
    </w:p>
    <w:p>
      <w:pPr/>
      <w:r>
        <w:rPr>
          <w:b/>
        </w:rPr>
        <w:t>Placement — first-cue timing from the served lists.</w:t>
      </w:r>
      <w:r>
        <w:t xml:space="preserve"> Average first cue point (title-level, served lists — the same catalog-level lists serve every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v5b</w:t>
            </w:r>
          </w:p>
        </w:tc>
        <w:tc>
          <w:tcPr>
            <w:tcW w:type="dxa" w:w="2880"/>
          </w:tcPr>
          <w:p>
            <w:r>
              <w:t>~206s (3.4 min)</w:t>
            </w:r>
          </w:p>
        </w:tc>
        <w:tc>
          <w:tcPr>
            <w:tcW w:type="dxa" w:w="2880"/>
          </w:tcPr>
          <w:p>
            <w:r>
              <w:t>~269s (4.5 min)</w:t>
            </w:r>
          </w:p>
        </w:tc>
      </w:tr>
      <w:tr>
        <w:tc>
          <w:tcPr>
            <w:tcW w:type="dxa" w:w="2880"/>
          </w:tcPr>
          <w:p>
            <w:r>
              <w:t>v6</w:t>
            </w:r>
          </w:p>
        </w:tc>
        <w:tc>
          <w:tcPr>
            <w:tcW w:type="dxa" w:w="2880"/>
          </w:tcPr>
          <w:p>
            <w:r>
              <w:t>~582s (9.7 min)</w:t>
            </w:r>
          </w:p>
        </w:tc>
        <w:tc>
          <w:tcPr>
            <w:tcW w:type="dxa" w:w="2880"/>
          </w:tcPr>
          <w:p>
            <w:r>
              <w:t>~532s (8.9 min)</w:t>
            </w:r>
          </w:p>
        </w:tc>
      </w:tr>
    </w:tbl>
    <w:p/>
    <w:p>
      <w:pPr/>
      <w:r>
        <w:rPr>
          <w:b/>
        </w:rPr>
        <w:t>Gate replay — fireable breaks from the served positions.</w:t>
      </w:r>
      <w:r>
        <w:t xml:space="preserve"> Replay the pod gate (greedy first-eligible) over the ABF2 and served positions, weighted by each title's in-window mobile TVT. The mobile ad config is not in the project files, so two gate profiles are shown: A = OTT base gates, and B = the most tolerant OTT ladder step. Observed mobile midrolls start earlier than OTT (median first episode break ~508s vs ~652s on OTT), so B is the closer approximation. Profile B also fits the measured per-band impression lifts better (r = 0.40 vs 0.35 across the 15 arm×band cells).</w:t>
      </w:r>
    </w:p>
    <w:p>
      <w:pPr/>
      <w:r>
        <w:t>Profile A — OTT base gates (episodes 420s initial / 600s spacing, movies 900s / 720s).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+139.9%</w:t>
            </w:r>
          </w:p>
        </w:tc>
        <w:tc>
          <w:tcPr>
            <w:tcW w:type="dxa" w:w="1728"/>
          </w:tcPr>
          <w:p>
            <w:r>
              <w:t>+126.6%</w:t>
            </w:r>
          </w:p>
        </w:tc>
        <w:tc>
          <w:tcPr>
            <w:tcW w:type="dxa" w:w="1728"/>
          </w:tcPr>
          <w:p>
            <w:r>
              <w:t>+104.9%</w:t>
            </w:r>
          </w:p>
        </w:tc>
      </w:tr>
      <w:tr>
        <w:tc>
          <w:tcPr>
            <w:tcW w:type="dxa" w:w="1728"/>
          </w:tcPr>
          <w:p>
            <w:r>
              <w:t>Movie</w:t>
            </w:r>
          </w:p>
        </w:tc>
        <w:tc>
          <w:tcPr>
            <w:tcW w:type="dxa" w:w="1728"/>
          </w:tcPr>
          <w:p>
            <w:r>
              <w:t>4–6</w:t>
            </w:r>
          </w:p>
        </w:tc>
        <w:tc>
          <w:tcPr>
            <w:tcW w:type="dxa" w:w="1728"/>
          </w:tcPr>
          <w:p>
            <w:r>
              <w:t>+35.6%</w:t>
            </w:r>
          </w:p>
        </w:tc>
        <w:tc>
          <w:tcPr>
            <w:tcW w:type="dxa" w:w="1728"/>
          </w:tcPr>
          <w:p>
            <w:r>
              <w:t>+23.6%</w:t>
            </w:r>
          </w:p>
        </w:tc>
        <w:tc>
          <w:tcPr>
            <w:tcW w:type="dxa" w:w="1728"/>
          </w:tcPr>
          <w:p>
            <w:r>
              <w:t>+37.5%</w:t>
            </w:r>
          </w:p>
        </w:tc>
      </w:tr>
      <w:tr>
        <w:tc>
          <w:tcPr>
            <w:tcW w:type="dxa" w:w="1728"/>
          </w:tcPr>
          <w:p>
            <w:r>
              <w:t>Movie</w:t>
            </w:r>
          </w:p>
        </w:tc>
        <w:tc>
          <w:tcPr>
            <w:tcW w:type="dxa" w:w="1728"/>
          </w:tcPr>
          <w:p>
            <w:r>
              <w:t>7–9</w:t>
            </w:r>
          </w:p>
        </w:tc>
        <w:tc>
          <w:tcPr>
            <w:tcW w:type="dxa" w:w="1728"/>
          </w:tcPr>
          <w:p>
            <w:r>
              <w:t>+10.2%</w:t>
            </w:r>
          </w:p>
        </w:tc>
        <w:tc>
          <w:tcPr>
            <w:tcW w:type="dxa" w:w="1728"/>
          </w:tcPr>
          <w:p>
            <w:r>
              <w:t>+15.8%</w:t>
            </w:r>
          </w:p>
        </w:tc>
        <w:tc>
          <w:tcPr>
            <w:tcW w:type="dxa" w:w="1728"/>
          </w:tcPr>
          <w:p>
            <w:r>
              <w:t>+15.6%</w:t>
            </w:r>
          </w:p>
        </w:tc>
      </w:tr>
      <w:tr>
        <w:tc>
          <w:tcPr>
            <w:tcW w:type="dxa" w:w="1728"/>
          </w:tcPr>
          <w:p>
            <w:r>
              <w:t>Movie</w:t>
            </w:r>
          </w:p>
        </w:tc>
        <w:tc>
          <w:tcPr>
            <w:tcW w:type="dxa" w:w="1728"/>
          </w:tcPr>
          <w:p>
            <w:r>
              <w:t>10–12</w:t>
            </w:r>
          </w:p>
        </w:tc>
        <w:tc>
          <w:tcPr>
            <w:tcW w:type="dxa" w:w="1728"/>
          </w:tcPr>
          <w:p>
            <w:r>
              <w:t>+3.1%</w:t>
            </w:r>
          </w:p>
        </w:tc>
        <w:tc>
          <w:tcPr>
            <w:tcW w:type="dxa" w:w="1728"/>
          </w:tcPr>
          <w:p>
            <w:r>
              <w:t>+7.8%</w:t>
            </w:r>
          </w:p>
        </w:tc>
        <w:tc>
          <w:tcPr>
            <w:tcW w:type="dxa" w:w="1728"/>
          </w:tcPr>
          <w:p>
            <w:r>
              <w:t>+8.0%</w:t>
            </w:r>
          </w:p>
        </w:tc>
      </w:tr>
      <w:tr>
        <w:tc>
          <w:tcPr>
            <w:tcW w:type="dxa" w:w="1728"/>
          </w:tcPr>
          <w:p>
            <w:r>
              <w:t>Movie</w:t>
            </w:r>
          </w:p>
        </w:tc>
        <w:tc>
          <w:tcPr>
            <w:tcW w:type="dxa" w:w="1728"/>
          </w:tcPr>
          <w:p>
            <w:r>
              <w:t>13+</w:t>
            </w:r>
          </w:p>
        </w:tc>
        <w:tc>
          <w:tcPr>
            <w:tcW w:type="dxa" w:w="1728"/>
          </w:tcPr>
          <w:p>
            <w:r>
              <w:t>−4.3%</w:t>
            </w:r>
          </w:p>
        </w:tc>
        <w:tc>
          <w:tcPr>
            <w:tcW w:type="dxa" w:w="1728"/>
          </w:tcPr>
          <w:p>
            <w:r>
              <w:t>−1.5%</w:t>
            </w:r>
          </w:p>
        </w:tc>
        <w:tc>
          <w:tcPr>
            <w:tcW w:type="dxa" w:w="1728"/>
          </w:tcPr>
          <w:p>
            <w:r>
              <w:t>−0.5%</w:t>
            </w:r>
          </w:p>
        </w:tc>
      </w:tr>
      <w:tr>
        <w:tc>
          <w:tcPr>
            <w:tcW w:type="dxa" w:w="1728"/>
          </w:tcPr>
          <w:p>
            <w:r>
              <w:t>Episode</w:t>
            </w:r>
          </w:p>
        </w:tc>
        <w:tc>
          <w:tcPr>
            <w:tcW w:type="dxa" w:w="1728"/>
          </w:tcPr>
          <w:p>
            <w:r>
              <w:t>1–3</w:t>
            </w:r>
          </w:p>
        </w:tc>
        <w:tc>
          <w:tcPr>
            <w:tcW w:type="dxa" w:w="1728"/>
          </w:tcPr>
          <w:p>
            <w:r>
              <w:t>+5.4%</w:t>
            </w:r>
          </w:p>
        </w:tc>
        <w:tc>
          <w:tcPr>
            <w:tcW w:type="dxa" w:w="1728"/>
          </w:tcPr>
          <w:p>
            <w:r>
              <w:t>+10.3%</w:t>
            </w:r>
          </w:p>
        </w:tc>
        <w:tc>
          <w:tcPr>
            <w:tcW w:type="dxa" w:w="1728"/>
          </w:tcPr>
          <w:p>
            <w:r>
              <w:t>+5.3%</w:t>
            </w:r>
          </w:p>
        </w:tc>
      </w:tr>
      <w:tr>
        <w:tc>
          <w:tcPr>
            <w:tcW w:type="dxa" w:w="1728"/>
          </w:tcPr>
          <w:p>
            <w:r>
              <w:t>Episode</w:t>
            </w:r>
          </w:p>
        </w:tc>
        <w:tc>
          <w:tcPr>
            <w:tcW w:type="dxa" w:w="1728"/>
          </w:tcPr>
          <w:p>
            <w:r>
              <w:t>4–6</w:t>
            </w:r>
          </w:p>
        </w:tc>
        <w:tc>
          <w:tcPr>
            <w:tcW w:type="dxa" w:w="1728"/>
          </w:tcPr>
          <w:p>
            <w:r>
              <w:t>+1.1%</w:t>
            </w:r>
          </w:p>
        </w:tc>
        <w:tc>
          <w:tcPr>
            <w:tcW w:type="dxa" w:w="1728"/>
          </w:tcPr>
          <w:p>
            <w:r>
              <w:t>+6.7%</w:t>
            </w:r>
          </w:p>
        </w:tc>
        <w:tc>
          <w:tcPr>
            <w:tcW w:type="dxa" w:w="1728"/>
          </w:tcPr>
          <w:p>
            <w:r>
              <w:t>+1.1%</w:t>
            </w:r>
          </w:p>
        </w:tc>
      </w:tr>
      <w:tr>
        <w:tc>
          <w:tcPr>
            <w:tcW w:type="dxa" w:w="1728"/>
          </w:tcPr>
          <w:p>
            <w:r>
              <w:t>Episode</w:t>
            </w:r>
          </w:p>
        </w:tc>
        <w:tc>
          <w:tcPr>
            <w:tcW w:type="dxa" w:w="1728"/>
          </w:tcPr>
          <w:p>
            <w:r>
              <w:t>7–9</w:t>
            </w:r>
          </w:p>
        </w:tc>
        <w:tc>
          <w:tcPr>
            <w:tcW w:type="dxa" w:w="1728"/>
          </w:tcPr>
          <w:p>
            <w:r>
              <w:t>−4.0%</w:t>
            </w:r>
          </w:p>
        </w:tc>
        <w:tc>
          <w:tcPr>
            <w:tcW w:type="dxa" w:w="1728"/>
          </w:tcPr>
          <w:p>
            <w:r>
              <w:t>−0.6%</w:t>
            </w:r>
          </w:p>
        </w:tc>
        <w:tc>
          <w:tcPr>
            <w:tcW w:type="dxa" w:w="1728"/>
          </w:tcPr>
          <w:p>
            <w:r>
              <w:t>−4.2%</w:t>
            </w:r>
          </w:p>
        </w:tc>
      </w:tr>
      <w:tr>
        <w:tc>
          <w:tcPr>
            <w:tcW w:type="dxa" w:w="1728"/>
          </w:tcPr>
          <w:p>
            <w:r>
              <w:t>Episode</w:t>
            </w:r>
          </w:p>
        </w:tc>
        <w:tc>
          <w:tcPr>
            <w:tcW w:type="dxa" w:w="1728"/>
          </w:tcPr>
          <w:p>
            <w:r>
              <w:t>10–12</w:t>
            </w:r>
          </w:p>
        </w:tc>
        <w:tc>
          <w:tcPr>
            <w:tcW w:type="dxa" w:w="1728"/>
          </w:tcPr>
          <w:p>
            <w:r>
              <w:t>−4.2%</w:t>
            </w:r>
          </w:p>
        </w:tc>
        <w:tc>
          <w:tcPr>
            <w:tcW w:type="dxa" w:w="1728"/>
          </w:tcPr>
          <w:p>
            <w:r>
              <w:t>−2.9%</w:t>
            </w:r>
          </w:p>
        </w:tc>
        <w:tc>
          <w:tcPr>
            <w:tcW w:type="dxa" w:w="1728"/>
          </w:tcPr>
          <w:p>
            <w:r>
              <w:t>−4.2%</w:t>
            </w:r>
          </w:p>
        </w:tc>
      </w:tr>
      <w:tr>
        <w:tc>
          <w:tcPr>
            <w:tcW w:type="dxa" w:w="1728"/>
          </w:tcPr>
          <w:p>
            <w:r>
              <w:t>Episode</w:t>
            </w:r>
          </w:p>
        </w:tc>
        <w:tc>
          <w:tcPr>
            <w:tcW w:type="dxa" w:w="1728"/>
          </w:tcPr>
          <w:p>
            <w:r>
              <w:t>13+</w:t>
            </w:r>
          </w:p>
        </w:tc>
        <w:tc>
          <w:tcPr>
            <w:tcW w:type="dxa" w:w="1728"/>
          </w:tcPr>
          <w:p>
            <w:r>
              <w:t>−7.8%</w:t>
            </w:r>
          </w:p>
        </w:tc>
        <w:tc>
          <w:tcPr>
            <w:tcW w:type="dxa" w:w="1728"/>
          </w:tcPr>
          <w:p>
            <w:r>
              <w:t>−10.2%</w:t>
            </w:r>
          </w:p>
        </w:tc>
        <w:tc>
          <w:tcPr>
            <w:tcW w:type="dxa" w:w="1728"/>
          </w:tcPr>
          <w:p>
            <w:r>
              <w:t>−8.0%</w:t>
            </w:r>
          </w:p>
        </w:tc>
      </w:tr>
    </w:tbl>
    <w:p/>
    <w:p>
      <w:pPr/>
      <w:r>
        <w:t>Profile B — tolerant gates (episodes 360s / 360s, movies 540s / 420s), closer to the earlier break starts observed on this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+12.8%</w:t>
            </w:r>
          </w:p>
        </w:tc>
        <w:tc>
          <w:tcPr>
            <w:tcW w:type="dxa" w:w="1728"/>
          </w:tcPr>
          <w:p>
            <w:r>
              <w:t>+46.4%</w:t>
            </w:r>
          </w:p>
        </w:tc>
        <w:tc>
          <w:tcPr>
            <w:tcW w:type="dxa" w:w="1728"/>
          </w:tcPr>
          <w:p>
            <w:r>
              <w:t>+11.0%</w:t>
            </w:r>
          </w:p>
        </w:tc>
      </w:tr>
      <w:tr>
        <w:tc>
          <w:tcPr>
            <w:tcW w:type="dxa" w:w="1728"/>
          </w:tcPr>
          <w:p>
            <w:r>
              <w:t>Movie</w:t>
            </w:r>
          </w:p>
        </w:tc>
        <w:tc>
          <w:tcPr>
            <w:tcW w:type="dxa" w:w="1728"/>
          </w:tcPr>
          <w:p>
            <w:r>
              <w:t>4–6</w:t>
            </w:r>
          </w:p>
        </w:tc>
        <w:tc>
          <w:tcPr>
            <w:tcW w:type="dxa" w:w="1728"/>
          </w:tcPr>
          <w:p>
            <w:r>
              <w:t>+24.0%</w:t>
            </w:r>
          </w:p>
        </w:tc>
        <w:tc>
          <w:tcPr>
            <w:tcW w:type="dxa" w:w="1728"/>
          </w:tcPr>
          <w:p>
            <w:r>
              <w:t>+28.4%</w:t>
            </w:r>
          </w:p>
        </w:tc>
        <w:tc>
          <w:tcPr>
            <w:tcW w:type="dxa" w:w="1728"/>
          </w:tcPr>
          <w:p>
            <w:r>
              <w:t>+25.7%</w:t>
            </w:r>
          </w:p>
        </w:tc>
      </w:tr>
      <w:tr>
        <w:tc>
          <w:tcPr>
            <w:tcW w:type="dxa" w:w="1728"/>
          </w:tcPr>
          <w:p>
            <w:r>
              <w:t>Movie</w:t>
            </w:r>
          </w:p>
        </w:tc>
        <w:tc>
          <w:tcPr>
            <w:tcW w:type="dxa" w:w="1728"/>
          </w:tcPr>
          <w:p>
            <w:r>
              <w:t>7–9</w:t>
            </w:r>
          </w:p>
        </w:tc>
        <w:tc>
          <w:tcPr>
            <w:tcW w:type="dxa" w:w="1728"/>
          </w:tcPr>
          <w:p>
            <w:r>
              <w:t>+3.0%</w:t>
            </w:r>
          </w:p>
        </w:tc>
        <w:tc>
          <w:tcPr>
            <w:tcW w:type="dxa" w:w="1728"/>
          </w:tcPr>
          <w:p>
            <w:r>
              <w:t>+11.0%</w:t>
            </w:r>
          </w:p>
        </w:tc>
        <w:tc>
          <w:tcPr>
            <w:tcW w:type="dxa" w:w="1728"/>
          </w:tcPr>
          <w:p>
            <w:r>
              <w:t>+10.8%</w:t>
            </w:r>
          </w:p>
        </w:tc>
      </w:tr>
      <w:tr>
        <w:tc>
          <w:tcPr>
            <w:tcW w:type="dxa" w:w="1728"/>
          </w:tcPr>
          <w:p>
            <w:r>
              <w:t>Movie</w:t>
            </w:r>
          </w:p>
        </w:tc>
        <w:tc>
          <w:tcPr>
            <w:tcW w:type="dxa" w:w="1728"/>
          </w:tcPr>
          <w:p>
            <w:r>
              <w:t>10–12</w:t>
            </w:r>
          </w:p>
        </w:tc>
        <w:tc>
          <w:tcPr>
            <w:tcW w:type="dxa" w:w="1728"/>
          </w:tcPr>
          <w:p>
            <w:r>
              <w:t>−0.6%</w:t>
            </w:r>
          </w:p>
        </w:tc>
        <w:tc>
          <w:tcPr>
            <w:tcW w:type="dxa" w:w="1728"/>
          </w:tcPr>
          <w:p>
            <w:r>
              <w:t>+3.3%</w:t>
            </w:r>
          </w:p>
        </w:tc>
        <w:tc>
          <w:tcPr>
            <w:tcW w:type="dxa" w:w="1728"/>
          </w:tcPr>
          <w:p>
            <w:r>
              <w:t>+5.6%</w:t>
            </w:r>
          </w:p>
        </w:tc>
      </w:tr>
      <w:tr>
        <w:tc>
          <w:tcPr>
            <w:tcW w:type="dxa" w:w="1728"/>
          </w:tcPr>
          <w:p>
            <w:r>
              <w:t>Movie</w:t>
            </w:r>
          </w:p>
        </w:tc>
        <w:tc>
          <w:tcPr>
            <w:tcW w:type="dxa" w:w="1728"/>
          </w:tcPr>
          <w:p>
            <w:r>
              <w:t>13+</w:t>
            </w:r>
          </w:p>
        </w:tc>
        <w:tc>
          <w:tcPr>
            <w:tcW w:type="dxa" w:w="1728"/>
          </w:tcPr>
          <w:p>
            <w:r>
              <w:t>−5.2%</w:t>
            </w:r>
          </w:p>
        </w:tc>
        <w:tc>
          <w:tcPr>
            <w:tcW w:type="dxa" w:w="1728"/>
          </w:tcPr>
          <w:p>
            <w:r>
              <w:t>−1.8%</w:t>
            </w:r>
          </w:p>
        </w:tc>
        <w:tc>
          <w:tcPr>
            <w:tcW w:type="dxa" w:w="1728"/>
          </w:tcPr>
          <w:p>
            <w:r>
              <w:t>+0.2%</w:t>
            </w:r>
          </w:p>
        </w:tc>
      </w:tr>
      <w:tr>
        <w:tc>
          <w:tcPr>
            <w:tcW w:type="dxa" w:w="1728"/>
          </w:tcPr>
          <w:p>
            <w:r>
              <w:t>Episode</w:t>
            </w:r>
          </w:p>
        </w:tc>
        <w:tc>
          <w:tcPr>
            <w:tcW w:type="dxa" w:w="1728"/>
          </w:tcPr>
          <w:p>
            <w:r>
              <w:t>1–3</w:t>
            </w:r>
          </w:p>
        </w:tc>
        <w:tc>
          <w:tcPr>
            <w:tcW w:type="dxa" w:w="1728"/>
          </w:tcPr>
          <w:p>
            <w:r>
              <w:t>+4.3%</w:t>
            </w:r>
          </w:p>
        </w:tc>
        <w:tc>
          <w:tcPr>
            <w:tcW w:type="dxa" w:w="1728"/>
          </w:tcPr>
          <w:p>
            <w:r>
              <w:t>+20.4%</w:t>
            </w:r>
          </w:p>
        </w:tc>
        <w:tc>
          <w:tcPr>
            <w:tcW w:type="dxa" w:w="1728"/>
          </w:tcPr>
          <w:p>
            <w:r>
              <w:t>+4.2%</w:t>
            </w:r>
          </w:p>
        </w:tc>
      </w:tr>
      <w:tr>
        <w:tc>
          <w:tcPr>
            <w:tcW w:type="dxa" w:w="1728"/>
          </w:tcPr>
          <w:p>
            <w:r>
              <w:t>Episode</w:t>
            </w:r>
          </w:p>
        </w:tc>
        <w:tc>
          <w:tcPr>
            <w:tcW w:type="dxa" w:w="1728"/>
          </w:tcPr>
          <w:p>
            <w:r>
              <w:t>4–6</w:t>
            </w:r>
          </w:p>
        </w:tc>
        <w:tc>
          <w:tcPr>
            <w:tcW w:type="dxa" w:w="1728"/>
          </w:tcPr>
          <w:p>
            <w:r>
              <w:t>−1.9%</w:t>
            </w:r>
          </w:p>
        </w:tc>
        <w:tc>
          <w:tcPr>
            <w:tcW w:type="dxa" w:w="1728"/>
          </w:tcPr>
          <w:p>
            <w:r>
              <w:t>+11.7%</w:t>
            </w:r>
          </w:p>
        </w:tc>
        <w:tc>
          <w:tcPr>
            <w:tcW w:type="dxa" w:w="1728"/>
          </w:tcPr>
          <w:p>
            <w:r>
              <w:t>−1.9%</w:t>
            </w:r>
          </w:p>
        </w:tc>
      </w:tr>
      <w:tr>
        <w:tc>
          <w:tcPr>
            <w:tcW w:type="dxa" w:w="1728"/>
          </w:tcPr>
          <w:p>
            <w:r>
              <w:t>Episode</w:t>
            </w:r>
          </w:p>
        </w:tc>
        <w:tc>
          <w:tcPr>
            <w:tcW w:type="dxa" w:w="1728"/>
          </w:tcPr>
          <w:p>
            <w:r>
              <w:t>7–9</w:t>
            </w:r>
          </w:p>
        </w:tc>
        <w:tc>
          <w:tcPr>
            <w:tcW w:type="dxa" w:w="1728"/>
          </w:tcPr>
          <w:p>
            <w:r>
              <w:t>−2.5%</w:t>
            </w:r>
          </w:p>
        </w:tc>
        <w:tc>
          <w:tcPr>
            <w:tcW w:type="dxa" w:w="1728"/>
          </w:tcPr>
          <w:p>
            <w:r>
              <w:t>+11.2%</w:t>
            </w:r>
          </w:p>
        </w:tc>
        <w:tc>
          <w:tcPr>
            <w:tcW w:type="dxa" w:w="1728"/>
          </w:tcPr>
          <w:p>
            <w:r>
              <w:t>−2.6%</w:t>
            </w:r>
          </w:p>
        </w:tc>
      </w:tr>
      <w:tr>
        <w:tc>
          <w:tcPr>
            <w:tcW w:type="dxa" w:w="1728"/>
          </w:tcPr>
          <w:p>
            <w:r>
              <w:t>Episode</w:t>
            </w:r>
          </w:p>
        </w:tc>
        <w:tc>
          <w:tcPr>
            <w:tcW w:type="dxa" w:w="1728"/>
          </w:tcPr>
          <w:p>
            <w:r>
              <w:t>10–12</w:t>
            </w:r>
          </w:p>
        </w:tc>
        <w:tc>
          <w:tcPr>
            <w:tcW w:type="dxa" w:w="1728"/>
          </w:tcPr>
          <w:p>
            <w:r>
              <w:t>−3.9%</w:t>
            </w:r>
          </w:p>
        </w:tc>
        <w:tc>
          <w:tcPr>
            <w:tcW w:type="dxa" w:w="1728"/>
          </w:tcPr>
          <w:p>
            <w:r>
              <w:t>+4.9%</w:t>
            </w:r>
          </w:p>
        </w:tc>
        <w:tc>
          <w:tcPr>
            <w:tcW w:type="dxa" w:w="1728"/>
          </w:tcPr>
          <w:p>
            <w:r>
              <w:t>−3.9%</w:t>
            </w:r>
          </w:p>
        </w:tc>
      </w:tr>
      <w:tr>
        <w:tc>
          <w:tcPr>
            <w:tcW w:type="dxa" w:w="1728"/>
          </w:tcPr>
          <w:p>
            <w:r>
              <w:t>Episode</w:t>
            </w:r>
          </w:p>
        </w:tc>
        <w:tc>
          <w:tcPr>
            <w:tcW w:type="dxa" w:w="1728"/>
          </w:tcPr>
          <w:p>
            <w:r>
              <w:t>13+</w:t>
            </w:r>
          </w:p>
        </w:tc>
        <w:tc>
          <w:tcPr>
            <w:tcW w:type="dxa" w:w="1728"/>
          </w:tcPr>
          <w:p>
            <w:r>
              <w:t>−5.8%</w:t>
            </w:r>
          </w:p>
        </w:tc>
        <w:tc>
          <w:tcPr>
            <w:tcW w:type="dxa" w:w="1728"/>
          </w:tcPr>
          <w:p>
            <w:r>
              <w:t>+4.8%</w:t>
            </w:r>
          </w:p>
        </w:tc>
        <w:tc>
          <w:tcPr>
            <w:tcW w:type="dxa" w:w="1728"/>
          </w:tcPr>
          <w:p>
            <w:r>
              <w:t>−6.0%</w:t>
            </w:r>
          </w:p>
        </w:tc>
      </w:tr>
    </w:tbl>
    <w:p/>
    <w:p>
      <w:pPr/>
      <w:r>
        <w:t>Under the tolerant profile, v5b's front-loaded cues fire more episode breaks in every band, while v4/v6 fire fewer from 4–6 up — the same split as the measured episode result. The replay does not reproduce the sparse-band (1–3) loss for v4/v6: it predicts a small gain where mobile measures −5.68% sig / −7.16% sig. The replay assumes full viewing; on mobile only 67.7% of ABF2 episode views reach ABF2's ~6.3-min first cue and 64.4% reach v4/v6's ~9.7-min first cue (OTT: 91.0% / 89.2%). Losing the first break on ~5% of views matters most on sparse titles, where it is a large share of all breaks — a likely but unproven part of the 1–3 loss.</w:t>
      </w:r>
    </w:p>
    <w:p>
      <w:pPr/>
      <w: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Gate profile</w:t>
            </w:r>
          </w:p>
        </w:tc>
        <w:tc>
          <w:tcPr>
            <w:tcW w:type="dxa" w:w="1440"/>
          </w:tcPr>
          <w:p>
            <w:r>
              <w:t>Arm</w:t>
            </w:r>
          </w:p>
        </w:tc>
        <w:tc>
          <w:tcPr>
            <w:tcW w:type="dxa" w:w="1440"/>
          </w:tcPr>
          <w:p>
            <w:r>
              <w:t>Total episode simΔ</w:t>
            </w:r>
          </w:p>
        </w:tc>
        <w:tc>
          <w:tcPr>
            <w:tcW w:type="dxa" w:w="1440"/>
          </w:tcPr>
          <w:p>
            <w:r>
              <w:t>from fewer cue points</w:t>
            </w:r>
          </w:p>
        </w:tc>
        <w:tc>
          <w:tcPr>
            <w:tcW w:type="dxa" w:w="1440"/>
          </w:tcPr>
          <w:p>
            <w:r>
              <w:t>from placement</w:t>
            </w:r>
          </w:p>
        </w:tc>
        <w:tc>
          <w:tcPr>
            <w:tcW w:type="dxa" w:w="1440"/>
          </w:tcPr>
          <w:p>
            <w:r>
              <w:t>from gains</w:t>
            </w:r>
          </w:p>
        </w:tc>
      </w:tr>
      <w:tr>
        <w:tc>
          <w:tcPr>
            <w:tcW w:type="dxa" w:w="1440"/>
          </w:tcPr>
          <w:p>
            <w:r>
              <w:t>A (OTT base)</w:t>
            </w:r>
          </w:p>
        </w:tc>
        <w:tc>
          <w:tcPr>
            <w:tcW w:type="dxa" w:w="1440"/>
          </w:tcPr>
          <w:p>
            <w:r>
              <w:t>v4</w:t>
            </w:r>
          </w:p>
        </w:tc>
        <w:tc>
          <w:tcPr>
            <w:tcW w:type="dxa" w:w="1440"/>
          </w:tcPr>
          <w:p>
            <w:r>
              <w:t>+0.0%</w:t>
            </w:r>
          </w:p>
        </w:tc>
        <w:tc>
          <w:tcPr>
            <w:tcW w:type="dxa" w:w="1440"/>
          </w:tcPr>
          <w:p>
            <w:r>
              <w:t>−4.4%</w:t>
            </w:r>
          </w:p>
        </w:tc>
        <w:tc>
          <w:tcPr>
            <w:tcW w:type="dxa" w:w="1440"/>
          </w:tcPr>
          <w:p>
            <w:r>
              <w:t>−1.1%</w:t>
            </w:r>
          </w:p>
        </w:tc>
        <w:tc>
          <w:tcPr>
            <w:tcW w:type="dxa" w:w="1440"/>
          </w:tcPr>
          <w:p>
            <w:r>
              <w:t>+5.5%</w:t>
            </w:r>
          </w:p>
        </w:tc>
      </w:tr>
      <w:tr>
        <w:tc>
          <w:tcPr>
            <w:tcW w:type="dxa" w:w="1440"/>
          </w:tcPr>
          <w:p>
            <w:r>
              <w:t>A (OTT base)</w:t>
            </w:r>
          </w:p>
        </w:tc>
        <w:tc>
          <w:tcPr>
            <w:tcW w:type="dxa" w:w="1440"/>
          </w:tcPr>
          <w:p>
            <w:r>
              <w:t>v5b</w:t>
            </w:r>
          </w:p>
        </w:tc>
        <w:tc>
          <w:tcPr>
            <w:tcW w:type="dxa" w:w="1440"/>
          </w:tcPr>
          <w:p>
            <w:r>
              <w:t>+4.4%</w:t>
            </w:r>
          </w:p>
        </w:tc>
        <w:tc>
          <w:tcPr>
            <w:tcW w:type="dxa" w:w="1440"/>
          </w:tcPr>
          <w:p>
            <w:r>
              <w:t>−1.1%</w:t>
            </w:r>
          </w:p>
        </w:tc>
        <w:tc>
          <w:tcPr>
            <w:tcW w:type="dxa" w:w="1440"/>
          </w:tcPr>
          <w:p>
            <w:r>
              <w:t>−2.1%</w:t>
            </w:r>
          </w:p>
        </w:tc>
        <w:tc>
          <w:tcPr>
            <w:tcW w:type="dxa" w:w="1440"/>
          </w:tcPr>
          <w:p>
            <w:r>
              <w:t>+7.6%</w:t>
            </w:r>
          </w:p>
        </w:tc>
      </w:tr>
      <w:tr>
        <w:tc>
          <w:tcPr>
            <w:tcW w:type="dxa" w:w="1440"/>
          </w:tcPr>
          <w:p>
            <w:r>
              <w:t>A (OTT base)</w:t>
            </w:r>
          </w:p>
        </w:tc>
        <w:tc>
          <w:tcPr>
            <w:tcW w:type="dxa" w:w="1440"/>
          </w:tcPr>
          <w:p>
            <w:r>
              <w:t>v6</w:t>
            </w:r>
          </w:p>
        </w:tc>
        <w:tc>
          <w:tcPr>
            <w:tcW w:type="dxa" w:w="1440"/>
          </w:tcPr>
          <w:p>
            <w:r>
              <w:t>−0.1%</w:t>
            </w:r>
          </w:p>
        </w:tc>
        <w:tc>
          <w:tcPr>
            <w:tcW w:type="dxa" w:w="1440"/>
          </w:tcPr>
          <w:p>
            <w:r>
              <w:t>−4.5%</w:t>
            </w:r>
          </w:p>
        </w:tc>
        <w:tc>
          <w:tcPr>
            <w:tcW w:type="dxa" w:w="1440"/>
          </w:tcPr>
          <w:p>
            <w:r>
              <w:t>−1.1%</w:t>
            </w:r>
          </w:p>
        </w:tc>
        <w:tc>
          <w:tcPr>
            <w:tcW w:type="dxa" w:w="1440"/>
          </w:tcPr>
          <w:p>
            <w:r>
              <w:t>+5.5%</w:t>
            </w:r>
          </w:p>
        </w:tc>
      </w:tr>
      <w:tr>
        <w:tc>
          <w:tcPr>
            <w:tcW w:type="dxa" w:w="1440"/>
          </w:tcPr>
          <w:p>
            <w:r>
              <w:t>B (tolerant)</w:t>
            </w:r>
          </w:p>
        </w:tc>
        <w:tc>
          <w:tcPr>
            <w:tcW w:type="dxa" w:w="1440"/>
          </w:tcPr>
          <w:p>
            <w:r>
              <w:t>v4</w:t>
            </w:r>
          </w:p>
        </w:tc>
        <w:tc>
          <w:tcPr>
            <w:tcW w:type="dxa" w:w="1440"/>
          </w:tcPr>
          <w:p>
            <w:r>
              <w:t>−1.1%</w:t>
            </w:r>
          </w:p>
        </w:tc>
        <w:tc>
          <w:tcPr>
            <w:tcW w:type="dxa" w:w="1440"/>
          </w:tcPr>
          <w:p>
            <w:r>
              <w:t>−4.6%</w:t>
            </w:r>
          </w:p>
        </w:tc>
        <w:tc>
          <w:tcPr>
            <w:tcW w:type="dxa" w:w="1440"/>
          </w:tcPr>
          <w:p>
            <w:r>
              <w:t>−2.1%</w:t>
            </w:r>
          </w:p>
        </w:tc>
        <w:tc>
          <w:tcPr>
            <w:tcW w:type="dxa" w:w="1440"/>
          </w:tcPr>
          <w:p>
            <w:r>
              <w:t>+5.6%</w:t>
            </w:r>
          </w:p>
        </w:tc>
      </w:tr>
      <w:tr>
        <w:tc>
          <w:tcPr>
            <w:tcW w:type="dxa" w:w="1440"/>
          </w:tcPr>
          <w:p>
            <w:r>
              <w:t>B (tolerant)</w:t>
            </w:r>
          </w:p>
        </w:tc>
        <w:tc>
          <w:tcPr>
            <w:tcW w:type="dxa" w:w="1440"/>
          </w:tcPr>
          <w:p>
            <w:r>
              <w:t>v5b</w:t>
            </w:r>
          </w:p>
        </w:tc>
        <w:tc>
          <w:tcPr>
            <w:tcW w:type="dxa" w:w="1440"/>
          </w:tcPr>
          <w:p>
            <w:r>
              <w:t>+12.8%</w:t>
            </w:r>
          </w:p>
        </w:tc>
        <w:tc>
          <w:tcPr>
            <w:tcW w:type="dxa" w:w="1440"/>
          </w:tcPr>
          <w:p>
            <w:r>
              <w:t>+2.9%</w:t>
            </w:r>
          </w:p>
        </w:tc>
        <w:tc>
          <w:tcPr>
            <w:tcW w:type="dxa" w:w="1440"/>
          </w:tcPr>
          <w:p>
            <w:r>
              <w:t>−1.8%</w:t>
            </w:r>
          </w:p>
        </w:tc>
        <w:tc>
          <w:tcPr>
            <w:tcW w:type="dxa" w:w="1440"/>
          </w:tcPr>
          <w:p>
            <w:r>
              <w:t>+11.7%</w:t>
            </w:r>
          </w:p>
        </w:tc>
      </w:tr>
      <w:tr>
        <w:tc>
          <w:tcPr>
            <w:tcW w:type="dxa" w:w="1440"/>
          </w:tcPr>
          <w:p>
            <w:r>
              <w:t>B (tolerant)</w:t>
            </w:r>
          </w:p>
        </w:tc>
        <w:tc>
          <w:tcPr>
            <w:tcW w:type="dxa" w:w="1440"/>
          </w:tcPr>
          <w:p>
            <w:r>
              <w:t>v6</w:t>
            </w:r>
          </w:p>
        </w:tc>
        <w:tc>
          <w:tcPr>
            <w:tcW w:type="dxa" w:w="1440"/>
          </w:tcPr>
          <w:p>
            <w:r>
              <w:t>−1.1%</w:t>
            </w:r>
          </w:p>
        </w:tc>
        <w:tc>
          <w:tcPr>
            <w:tcW w:type="dxa" w:w="1440"/>
          </w:tcPr>
          <w:p>
            <w:r>
              <w:t>−4.6%</w:t>
            </w:r>
          </w:p>
        </w:tc>
        <w:tc>
          <w:tcPr>
            <w:tcW w:type="dxa" w:w="1440"/>
          </w:tcPr>
          <w:p>
            <w:r>
              <w:t>−2.1%</w:t>
            </w:r>
          </w:p>
        </w:tc>
        <w:tc>
          <w:tcPr>
            <w:tcW w:type="dxa" w:w="1440"/>
          </w:tcPr>
          <w:p>
            <w:r>
              <w:t>+5.6%</w:t>
            </w:r>
          </w:p>
        </w:tc>
      </w:tr>
    </w:tbl>
    <w:p/>
    <w:p>
      <w:pPr/>
      <w:r>
        <w:t>For v4/v6 the episode deficit is mostly a count miss (dense episodes pruned below control) under both profiles, so the per-title floor is the main lever. For v5b the tolerant profile turns the count term positive — v5b's ABF2-density lists fire more breaks when gates are looser.</w:t>
      </w:r>
    </w:p>
    <w:p>
      <w:pPr>
        <w:pStyle w:val="Heading1"/>
      </w:pPr>
      <w:r>
        <w:t>3. Decision frame</w:t>
      </w:r>
    </w:p>
    <w:p>
      <w:pPr/>
      <w:r>
        <w:t>Early read, same window as OTT. Judge the money on total revenue; on mobile every revenue pool moves the same direction, so the read is unambiguous.</w:t>
      </w:r>
    </w:p>
    <w:p>
      <w:pPr>
        <w:pStyle w:val="ListBullet"/>
      </w:pPr>
      <w:r>
        <w:rPr>
          <w:b/>
        </w:rPr>
        <w:t>v5b is the only arm to carry forward on mobile.</w:t>
      </w:r>
      <w:r>
        <w:t xml:space="preserve"> Total revenue +0.610% sig, on-title unbudgeted +1.706% sig, impressions up, TVT flat (watch item: −0.359% ns).</w:t>
      </w:r>
    </w:p>
    <w:p>
      <w:pPr>
        <w:pStyle w:val="ListBullet"/>
      </w:pPr>
      <w:r>
        <w:rPr>
          <w:b/>
        </w:rPr>
        <w:t>v4 and v6 should not ship to mobile as-is.</w:t>
      </w:r>
      <w:r>
        <w:t xml:space="preserve"> Both lose significantly (−1.685% sig, −1.208% sig), driven by episodes and sparse titles. The OTT recommendation for v6 does not carry over.</w:t>
      </w:r>
    </w:p>
    <w:p>
      <w:pPr>
        <w:pStyle w:val="ListBullet"/>
      </w:pPr>
      <w:r>
        <w:rPr>
          <w:b/>
        </w:rPr>
        <w:t>The fixes from OTT apply, plus one.</w:t>
      </w:r>
      <w:r>
        <w:t xml:space="preserve"> A per-title floor removes the below-control loss (validated here too). An earlier first episode cue likely matters more on mobile, where more viewers stop early — v5b, which front-loads cues, is the arm that gains on episodes.</w:t>
      </w:r>
    </w:p>
    <w:p>
      <w:pPr>
        <w:pStyle w:val="ListBullet"/>
      </w:pPr>
      <w:r>
        <w:rPr>
          <w:b/>
        </w:rPr>
        <w:t>Open items.</w:t>
      </w:r>
      <w:r>
        <w:t xml:space="preserve"> Get the mobile ad config to replace the approximate gate profiles; re-read after a longer window — mobile intervals are ~2.5× wider than OTT.</w:t>
      </w:r>
    </w:p>
    <w:p>
      <w:pPr>
        <w:pStyle w:val="Heading1"/>
      </w:pPr>
      <w:r>
        <w:t>Appendix B — served cue points</w:t>
      </w:r>
    </w:p>
    <w:p>
      <w:pPr>
        <w:pStyle w:val="Heading2"/>
      </w:pPr>
      <w:r>
        <w:t>B.4 Cue points per hour versus ABF2</w:t>
      </w:r>
    </w:p>
    <w:p>
      <w:pPr/>
      <w:r>
        <w:t>From the served counts and durations in `ml_dev.tmp.abf3_new_pruner_cuepoints` (catalog-level; identical on every platform).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pPr>
        <w:pStyle w:val="Heading2"/>
      </w:pPr>
      <w:r>
        <w:t>B.5 Revenue-pool diagnostic — is the budgeted lift incremental?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−1.975% sig</w:t>
            </w:r>
          </w:p>
        </w:tc>
        <w:tc>
          <w:tcPr>
            <w:tcW w:type="dxa" w:w="2880"/>
          </w:tcPr>
          <w:p>
            <w:r>
              <w:t>−1.390% sig</w:t>
            </w:r>
          </w:p>
        </w:tc>
      </w:tr>
      <w:tr>
        <w:tc>
          <w:tcPr>
            <w:tcW w:type="dxa" w:w="2880"/>
          </w:tcPr>
          <w:p>
            <w:r>
              <w:t>v5b</w:t>
            </w:r>
          </w:p>
        </w:tc>
        <w:tc>
          <w:tcPr>
            <w:tcW w:type="dxa" w:w="2880"/>
          </w:tcPr>
          <w:p>
            <w:r>
              <w:t>+0.870% sig</w:t>
            </w:r>
          </w:p>
        </w:tc>
        <w:tc>
          <w:tcPr>
            <w:tcW w:type="dxa" w:w="2880"/>
          </w:tcPr>
          <w:p>
            <w:r>
              <w:t>+0.530% sig</w:t>
            </w:r>
          </w:p>
        </w:tc>
      </w:tr>
      <w:tr>
        <w:tc>
          <w:tcPr>
            <w:tcW w:type="dxa" w:w="2880"/>
          </w:tcPr>
          <w:p>
            <w:r>
              <w:t>v6</w:t>
            </w:r>
          </w:p>
        </w:tc>
        <w:tc>
          <w:tcPr>
            <w:tcW w:type="dxa" w:w="2880"/>
          </w:tcPr>
          <w:p>
            <w:r>
              <w:t>−1.304% sig</w:t>
            </w:r>
          </w:p>
        </w:tc>
        <w:tc>
          <w:tcPr>
            <w:tcW w:type="dxa" w:w="2880"/>
          </w:tcPr>
          <w:p>
            <w:r>
              <w:t>−1.100% sig</w:t>
            </w:r>
          </w:p>
        </w:tc>
      </w:tr>
    </w:tbl>
    <w:p/>
    <w:p>
      <w:pPr/>
      <w:r>
        <w:t>For v5b both pools rise (budgeted +0.870% sig, unbudgeted +0.530% sig), so the extra ads are new inventory filled by both demand types — a cleaner incrementality signal than OTT, where only budgeted rose. For v4 and v6 both pools fall: fewer fireable breaks, not a demand shift.</w:t>
      </w:r>
    </w:p>
    <w:p>
      <w:pPr>
        <w:pStyle w:val="Heading1"/>
      </w:pPr>
      <w:r>
        <w:t>Appendix C — Methods</w:t>
      </w:r>
    </w:p>
    <w:p>
      <w:pPr>
        <w:pStyle w:val="ListBullet"/>
      </w:pPr>
      <w:r>
        <w:rPr>
          <w:b/>
        </w:rPr>
        <w:t>Assignment.</w:t>
      </w:r>
      <w:r>
        <w:t xml:space="preserve"> One variant per device from `core_dev.statsig.exposures` for `ads_mobile_abf_3_v10_abf2_titles_only`; no device has more than one variant. Outcomes require event time at/after first exposure.</w:t>
      </w:r>
    </w:p>
    <w:p>
      <w:pPr>
        <w:pStyle w:val="ListBullet"/>
      </w:pPr>
      <w:r>
        <w:rPr>
          <w:b/>
        </w:rPr>
        <w:t>Window.</w:t>
      </w:r>
      <w:r>
        <w:t xml:space="preserve"> Outcomes 2026-10-09 through 2026-10-15 14:00 UTC (10:00 EDT). CUPED covariate 2026-09-25 → 2026-10-08. Active = ≥1 video session since first exposure in-window. ToT = ≥1 second of TVT on an ABF2-catalog title in-window.</w:t>
      </w:r>
    </w:p>
    <w:p>
      <w:pPr>
        <w:pStyle w:val="ListBullet"/>
      </w:pPr>
      <w:r>
        <w:rPr>
          <w:b/>
        </w:rPr>
        <w:t>ABF2 title list, metrics, estimator.</w:t>
      </w:r>
      <w:r>
        <w:t xml:space="preserve"> Identical to the OTT report: movie/episode streams with non-empty `cue_points_abf`, excluding `abf3_pruned_v8` and the v8 title table; total / budgeted / unbudgeted revenue from `core_prod.ads.impressions` × `mercurydb_cdc.campaigns` with the v8 advertiser exclusions; device-level CUPED with pooled theta per population, Welch 95% (z = 1.96). Band/type/below-control tables are raw Welch.</w:t>
      </w:r>
    </w:p>
    <w:p>
      <w:pPr>
        <w:pStyle w:val="ListBullet"/>
      </w:pPr>
      <w:r>
        <w:rPr>
          <w:b/>
        </w:rPr>
        <w:t>Gate replay.</w:t>
      </w:r>
      <w:r>
        <w:t xml:space="preserve"> Same simulation as OTT (`v10_gate_replay`, Databricks `/Users/jvora@tubi.tv/ABF_v10/`), TVT weights from in-window video sessions on this platform. Gate values are approximations — see §2c.</w:t>
      </w:r>
    </w:p>
    <w:p>
      <w:pPr>
        <w:pStyle w:val="ListBullet"/>
      </w:pPr>
      <w:r>
        <w:rPr>
          <w:b/>
        </w:rPr>
        <w:t>Served cue lists.</w:t>
      </w:r>
      <w:r>
        <w:t xml:space="preserve"> `ml_dev.tmp.abf3_new_pruner_cuepoints` (snapshot 2026-10-08; T1 = v4, T2 = v6, T3 = v5b) — catalog-level, so §B.4 and the first-cue table match the OTT report.</w:t>
      </w:r>
    </w:p>
    <w:p>
      <w:pPr>
        <w:pStyle w:val="ListBullet"/>
      </w:pPr>
      <w:r>
        <w:rPr>
          <w:b/>
        </w:rPr>
        <w:t>Code.</w:t>
      </w:r>
      <w:r>
        <w:t xml:space="preserve"> Queries and scripts in `abf-experiment/v10_verification/`.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