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ABF3 Experiment (v6) — Lift &amp; Graduation Generalization Report</w:t>
      </w:r>
    </w:p>
    <w:p>
      <w:r>
        <w:rPr>
          <w:b/>
        </w:rPr>
        <w:t>Experiment:</w:t>
      </w:r>
      <w:r>
        <w:t xml:space="preserve"> </w:t>
      </w:r>
      <w:r>
        <w:rPr>
          <w:rFonts w:ascii="Consolas" w:hAnsi="Consolas"/>
          <w:sz w:val="20"/>
        </w:rPr>
        <w:t>ads_abf_3_v6</w:t>
      </w:r>
      <w:r>
        <w:t xml:space="preserve"> (OTT; mobile/web variants </w:t>
      </w:r>
      <w:r>
        <w:rPr>
          <w:rFonts w:ascii="Consolas" w:hAnsi="Consolas"/>
          <w:sz w:val="20"/>
        </w:rPr>
        <w:t>ads_mobile_abf_3_v6</w:t>
      </w:r>
      <w:r>
        <w:t xml:space="preserve">, </w:t>
      </w:r>
      <w:r>
        <w:rPr>
          <w:rFonts w:ascii="Consolas" w:hAnsi="Consolas"/>
          <w:sz w:val="20"/>
        </w:rPr>
        <w:t>ads_web_abf_3_v6</w:t>
      </w:r>
      <w:r>
        <w:t xml:space="preserve"> not analyzed here)</w:t>
      </w:r>
    </w:p>
    <w:p>
      <w:r>
        <w:rPr>
          <w:b/>
        </w:rPr>
        <w:t>Design:</w:t>
      </w:r>
      <w:r>
        <w:t xml:space="preserve"> ABF1 (Control) vs ABF3 (Test), 1,084 titles, ABF3 pruned (new algorithm) to ~ABF2 density</w:t>
      </w:r>
    </w:p>
    <w:p>
      <w:r>
        <w:rPr>
          <w:b/>
        </w:rPr>
        <w:t>Launch:</w:t>
      </w:r>
      <w:r>
        <w:t xml:space="preserve"> 2026-05-29 · </w:t>
      </w:r>
      <w:r>
        <w:rPr>
          <w:b/>
        </w:rPr>
        <w:t>Analysis window:</w:t>
      </w:r>
      <w:r>
        <w:t xml:space="preserve"> 2026-05-29 → 2026-06-03 (complete days; 06-04 partial day excluded) · </w:t>
      </w:r>
      <w:r>
        <w:rPr>
          <w:b/>
        </w:rPr>
        <w:t>Refreshed:</w:t>
      </w:r>
      <w:r>
        <w:t xml:space="preserve"> 2026-06-04</w:t>
      </w:r>
    </w:p>
    <w:p>
      <w:r>
        <w:rPr>
          <w:b/>
        </w:rPr>
        <w:t>Notebooks:</w:t>
      </w:r>
      <w:r>
        <w:t xml:space="preserve"> </w:t>
      </w:r>
      <w:r>
        <w:rPr>
          <w:rFonts w:ascii="Consolas" w:hAnsi="Consolas"/>
          <w:sz w:val="20"/>
        </w:rPr>
        <w:t>/Users/bpulikkal@tubi.tv/ABF_3/ads_abf_3_v6__*</w:t>
      </w:r>
      <w:r>
        <w:t xml:space="preserve"> (run outputs with results: </w:t>
      </w:r>
      <w:r>
        <w:rPr>
          <w:rFonts w:ascii="Consolas" w:hAnsi="Consolas"/>
          <w:sz w:val="20"/>
        </w:rPr>
        <w:t>__run_2026-06-04_OUTPUT</w:t>
      </w:r>
      <w:r>
        <w:t>)</w:t>
      </w:r>
    </w:p>
    <w:p>
      <w:pPr>
        <w:pStyle w:val="Heading1"/>
      </w:pPr>
      <w:r/>
      <w:r>
        <w:t>TL;DR</w:t>
      </w:r>
    </w:p>
    <w:p>
      <w:pPr>
        <w:pStyle w:val="ListBullet"/>
      </w:pPr>
      <w:r>
        <w:rPr>
          <w:b/>
        </w:rPr>
        <w:t>v6 measures a clear, significant revenue lift of ABF3 over ABF1</w:t>
      </w:r>
      <w:r>
        <w:t xml:space="preserve">: </w:t>
      </w:r>
      <w:r>
        <w:rPr>
          <w:b/>
        </w:rPr>
        <w:t>+5.67% unbudgeted revenue, +6.35% impressions on experiment titles</w:t>
      </w:r>
      <w:r>
        <w:t xml:space="preserve"> (device-level ToT), with a small </w:t>
      </w:r>
      <w:r>
        <w:rPr>
          <w:b/>
        </w:rPr>
        <w:t>−0.33% TVT</w:t>
      </w:r>
      <w:r>
        <w:t xml:space="preserve"> on those titles. Numbers are stable vs the day-5 read (+5.70% / −0.31%) — the effect is holding, not moderating.</w:t>
      </w:r>
    </w:p>
    <w:p>
      <w:pPr>
        <w:pStyle w:val="ListBullet"/>
      </w:pPr>
      <w:r>
        <w:rPr>
          <w:b/>
        </w:rPr>
        <w:t>The lift will hold when graduating ABF3 to all ABF1 titles.</w:t>
      </w:r>
      <w:r>
        <w:t xml:space="preserve"> Poststratified onto the full ABF1 universe, the on-ABF1-title revenue lift is </w:t>
      </w:r>
      <w:r>
        <w:rPr>
          <w:b/>
        </w:rPr>
        <w:t>+6.0% (revenue-weighted)</w:t>
      </w:r>
      <w:r>
        <w:t xml:space="preserve"> / </w:t>
      </w:r>
      <w:r>
        <w:rPr>
          <w:b/>
        </w:rPr>
        <w:t>+7.0% (TVT-weighted)</w:t>
      </w:r>
      <w:r>
        <w:t xml:space="preserve"> — the two weightings bracket the per-title lift; revenue-weighting is the basis for the global revenue number below. Title-clustered 95% CI </w:t>
      </w:r>
      <w:r>
        <w:rPr>
          <w:b/>
        </w:rPr>
        <w:t>[+6.1%, +8.5%]</w:t>
      </w:r>
      <w:r>
        <w:t xml:space="preserve"> (TVT-weighted), </w:t>
      </w:r>
      <w:r>
        <w:rPr>
          <w:b/>
        </w:rPr>
        <w:t>flat TVT</w:t>
      </w:r>
      <w:r>
        <w:t xml:space="preserve"> across every density decile and content type.</w:t>
      </w:r>
    </w:p>
    <w:p>
      <w:pPr>
        <w:pStyle w:val="ListBullet"/>
      </w:pPr>
      <w:r>
        <w:rPr>
          <w:b/>
        </w:rPr>
        <w:t>Global (topline) revenue impact of graduating:</w:t>
      </w:r>
      <w:r>
        <w:t xml:space="preserve"> ABF1 titles = </w:t>
      </w:r>
      <w:r>
        <w:rPr>
          <w:b/>
        </w:rPr>
        <w:t>36.2% of total unbudgeted revenue / 36.7% of TVT</w:t>
      </w:r>
      <w:r>
        <w:t xml:space="preserve"> (14d pre-launch window; replaces the earlier ~45% planning figure — see §2). Diluting the </w:t>
      </w:r>
      <w:r>
        <w:rPr>
          <w:b/>
        </w:rPr>
        <w:t>+6.02% revenue-weighted</w:t>
      </w:r>
      <w:r>
        <w:t xml:space="preserve"> ABF1-wide lift by the 36.2% revenue share → </w:t>
      </w:r>
      <w:r>
        <w:rPr>
          <w:b/>
        </w:rPr>
        <w:t>~+2.2% global unbudgeted revenue</w:t>
      </w:r>
      <w:r>
        <w:t xml:space="preserve"> (point +2.18%, CI [+1.99%, +2.37%]; range +1.9–2.5% bracketed by poststratification +2.2% and coverage-scaling +1.9%, see §2e). 70% of devices watch ≥1 ABF1 title.</w:t>
      </w:r>
    </w:p>
    <w:p>
      <w:pPr>
        <w:pStyle w:val="ListBullet"/>
      </w:pPr>
      <w:r>
        <w:rPr>
          <w:b/>
        </w:rPr>
        <w:t>Global (topline) TVT impact of graduating:</w:t>
      </w:r>
      <w:r>
        <w:t xml:space="preserve"> estimated two ways (see §2f) — </w:t>
      </w:r>
      <w:r>
        <w:rPr>
          <w:b/>
        </w:rPr>
        <w:t>−0.05%</w:t>
      </w:r>
      <w:r>
        <w:t xml:space="preserve"> (on-title dilution, assumes no spillover) to </w:t>
      </w:r>
      <w:r>
        <w:rPr>
          <w:b/>
        </w:rPr>
        <w:t>−0.40%</w:t>
      </w:r>
      <w:r>
        <w:t xml:space="preserve"> (coverage-scaling, captures cross-title substitution). The true effect is likely toward the </w:t>
      </w:r>
      <w:r>
        <w:rPr>
          <w:b/>
        </w:rPr>
        <w:t>−0.4%</w:t>
      </w:r>
      <w:r>
        <w:t xml:space="preserve"> end: the all-titles TVT decline is larger than on-ABF1-title losses alone predict, indicating heavier ABF1 ad loads modestly reduce *total* watch time. Small but real, and the main thing to weigh against the +2.2% revenue gain.</w:t>
      </w:r>
    </w:p>
    <w:p>
      <w:pPr>
        <w:pStyle w:val="ListBullet"/>
      </w:pPr>
      <w:r>
        <w:t xml:space="preserve">The 1,084 titles were a </w:t>
      </w:r>
      <w:r>
        <w:rPr>
          <w:b/>
        </w:rPr>
        <w:t>random draw</w:t>
      </w:r>
      <w:r>
        <w:t xml:space="preserve">; they look skewed on raw per-title traits but are close to the population on a </w:t>
      </w:r>
      <w:r>
        <w:rPr>
          <w:b/>
        </w:rPr>
        <w:t>TVT-weighted</w:t>
      </w:r>
      <w:r>
        <w:t xml:space="preserve"> basis, and the projection corrects what skew remains.</w:t>
      </w:r>
    </w:p>
    <w:p>
      <w:pPr>
        <w:pStyle w:val="ListBullet"/>
      </w:pPr>
      <w:r>
        <w:rPr>
          <w:b/>
        </w:rPr>
        <w:t>Independently validated against Statsig's CURE dashboard</w:t>
      </w:r>
      <w:r>
        <w:t xml:space="preserve"> (ITT, all-titles): TVT point estimate identical (−0.16% both), revenue agrees within ~0.12pp. See §3.</w:t>
      </w:r>
    </w:p>
    <w:p>
      <w:pPr>
        <w:pStyle w:val="ListBullet"/>
      </w:pPr>
      <w:r>
        <w:rPr>
          <w:b/>
        </w:rPr>
        <w:t>`me_score`/`e_score` (offline) remain the formal graduation gate</w:t>
      </w:r>
      <w:r>
        <w:t xml:space="preserve"> and are not computed here.</w:t>
      </w:r>
    </w:p>
    <w:p>
      <w:pPr>
        <w:pStyle w:val="Heading1"/>
      </w:pPr>
      <w:r/>
      <w:r>
        <w:t>1. Headline lift (device-level)</w:t>
      </w:r>
    </w:p>
    <w:p>
      <w:r>
        <w:rPr>
          <w:b/>
        </w:rPr>
        <w:t>All lifts are CUPED-adjusted</w:t>
      </w:r>
      <w:r>
        <w:t xml:space="preserve"> (14-day pre-period covariate, 2026-05-15→05-28; pooled θ; 95% CI). CUPED is our variance-reduction method — it tightens the confidence intervals without shifting the point estimates. Window 05-29→06-03; ToT n ≈ 3.76M/arm, ITT n ≈ 10.8M/arm. Statsig dashboard cross-validation in §3.</w:t>
      </w:r>
    </w:p>
    <w:p>
      <w:pPr>
        <w:pStyle w:val="Heading2"/>
      </w:pPr>
      <w:r/>
      <w:r>
        <w:t>ToT — devices that watched ≥1 experiment title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Lift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Sig?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ABF3 titles only</w:t>
            </w:r>
          </w:p>
        </w:tc>
        <w:tc>
          <w:tcPr>
            <w:tcW w:type="dxa" w:w="1728"/>
          </w:tcPr>
          <w:p>
            <w:r/>
            <w:r>
              <w:t>Unbudgeted Revenue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+5.66%</w:t>
            </w:r>
          </w:p>
        </w:tc>
        <w:tc>
          <w:tcPr>
            <w:tcW w:type="dxa" w:w="1728"/>
          </w:tcPr>
          <w:p>
            <w:r/>
            <w:r>
              <w:t>[+5.44%, +5.88%]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ABF3 titles only</w:t>
            </w:r>
          </w:p>
        </w:tc>
        <w:tc>
          <w:tcPr>
            <w:tcW w:type="dxa" w:w="1728"/>
          </w:tcPr>
          <w:p>
            <w:r/>
            <w:r>
              <w:t>Unbudgeted Impressions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+6.38%</w:t>
            </w:r>
          </w:p>
        </w:tc>
        <w:tc>
          <w:tcPr>
            <w:tcW w:type="dxa" w:w="1728"/>
          </w:tcPr>
          <w:p>
            <w:r/>
            <w:r>
              <w:t>[+6.15%, +6.60%]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ABF3 titles only</w:t>
            </w:r>
          </w:p>
        </w:tc>
        <w:tc>
          <w:tcPr>
            <w:tcW w:type="dxa" w:w="1728"/>
          </w:tcPr>
          <w:p>
            <w:r/>
            <w:r>
              <w:t>TVT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−0.39%</w:t>
            </w:r>
          </w:p>
        </w:tc>
        <w:tc>
          <w:tcPr>
            <w:tcW w:type="dxa" w:w="1728"/>
          </w:tcPr>
          <w:p>
            <w:r/>
            <w:r>
              <w:t>[−0.61%, −0.18%]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All titles</w:t>
            </w:r>
          </w:p>
        </w:tc>
        <w:tc>
          <w:tcPr>
            <w:tcW w:type="dxa" w:w="1728"/>
          </w:tcPr>
          <w:p>
            <w:r/>
            <w:r>
              <w:t>Unbudgeted Revenue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+1.25%</w:t>
            </w:r>
          </w:p>
        </w:tc>
        <w:tc>
          <w:tcPr>
            <w:tcW w:type="dxa" w:w="1728"/>
          </w:tcPr>
          <w:p>
            <w:r/>
            <w:r>
              <w:t>[+1.11%, +1.39%]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All titles</w:t>
            </w:r>
          </w:p>
        </w:tc>
        <w:tc>
          <w:tcPr>
            <w:tcW w:type="dxa" w:w="1728"/>
          </w:tcPr>
          <w:p>
            <w:r/>
            <w:r>
              <w:t>Unbudgeted Impressions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+1.36%</w:t>
            </w:r>
          </w:p>
        </w:tc>
        <w:tc>
          <w:tcPr>
            <w:tcW w:type="dxa" w:w="1728"/>
          </w:tcPr>
          <w:p>
            <w:r/>
            <w:r>
              <w:t>[+1.22%, +1.50%]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All titles</w:t>
            </w:r>
          </w:p>
        </w:tc>
        <w:tc>
          <w:tcPr>
            <w:tcW w:type="dxa" w:w="1728"/>
          </w:tcPr>
          <w:p>
            <w:r/>
            <w:r>
              <w:t>TVT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−0.20%</w:t>
            </w:r>
          </w:p>
        </w:tc>
        <w:tc>
          <w:tcPr>
            <w:tcW w:type="dxa" w:w="1728"/>
          </w:tcPr>
          <w:p>
            <w:r/>
            <w:r>
              <w:t>[−0.33%, −0.07%]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</w:tbl>
    <w:p/>
    <w:p>
      <w:pPr>
        <w:pStyle w:val="Heading2"/>
      </w:pPr>
      <w:r/>
      <w:r>
        <w:t>ITT — all assigned devices (matches the Statsig dashboard scope)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Lift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Sig?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All titles</w:t>
            </w:r>
          </w:p>
        </w:tc>
        <w:tc>
          <w:tcPr>
            <w:tcW w:type="dxa" w:w="1728"/>
          </w:tcPr>
          <w:p>
            <w:r/>
            <w:r>
              <w:t>Unbudgeted Revenue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+0.84%</w:t>
            </w:r>
          </w:p>
        </w:tc>
        <w:tc>
          <w:tcPr>
            <w:tcW w:type="dxa" w:w="1728"/>
          </w:tcPr>
          <w:p>
            <w:r/>
            <w:r>
              <w:t>[+0.72%, +0.95%]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All titles</w:t>
            </w:r>
          </w:p>
        </w:tc>
        <w:tc>
          <w:tcPr>
            <w:tcW w:type="dxa" w:w="1728"/>
          </w:tcPr>
          <w:p>
            <w:r/>
            <w:r>
              <w:t>Unbudgeted Impressions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+0.89%</w:t>
            </w:r>
          </w:p>
        </w:tc>
        <w:tc>
          <w:tcPr>
            <w:tcW w:type="dxa" w:w="1728"/>
          </w:tcPr>
          <w:p>
            <w:r/>
            <w:r>
              <w:t>[+0.78%, +1.00%]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All titles</w:t>
            </w:r>
          </w:p>
        </w:tc>
        <w:tc>
          <w:tcPr>
            <w:tcW w:type="dxa" w:w="1728"/>
          </w:tcPr>
          <w:p>
            <w:r/>
            <w:r>
              <w:t>TVT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−0.16%</w:t>
            </w:r>
          </w:p>
        </w:tc>
        <w:tc>
          <w:tcPr>
            <w:tcW w:type="dxa" w:w="1728"/>
          </w:tcPr>
          <w:p>
            <w:r/>
            <w:r>
              <w:t>[−0.27%, −0.05%]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ABF3 titles only</w:t>
            </w:r>
          </w:p>
        </w:tc>
        <w:tc>
          <w:tcPr>
            <w:tcW w:type="dxa" w:w="1728"/>
          </w:tcPr>
          <w:p>
            <w:r/>
            <w:r>
              <w:t>Unbudgeted Revenue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+5.79%</w:t>
            </w:r>
          </w:p>
        </w:tc>
        <w:tc>
          <w:tcPr>
            <w:tcW w:type="dxa" w:w="1728"/>
          </w:tcPr>
          <w:p>
            <w:r/>
            <w:r>
              <w:t>[+5.56%, +6.03%]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ABF3 titles only</w:t>
            </w:r>
          </w:p>
        </w:tc>
        <w:tc>
          <w:tcPr>
            <w:tcW w:type="dxa" w:w="1728"/>
          </w:tcPr>
          <w:p>
            <w:r/>
            <w:r>
              <w:t>Unbudgeted Impressions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+6.54%</w:t>
            </w:r>
          </w:p>
        </w:tc>
        <w:tc>
          <w:tcPr>
            <w:tcW w:type="dxa" w:w="1728"/>
          </w:tcPr>
          <w:p>
            <w:r/>
            <w:r>
              <w:t>[+6.30%, +6.77%]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ABF3 titles only</w:t>
            </w:r>
          </w:p>
        </w:tc>
        <w:tc>
          <w:tcPr>
            <w:tcW w:type="dxa" w:w="1728"/>
          </w:tcPr>
          <w:p>
            <w:r/>
            <w:r>
              <w:t>TVT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−0.37%</w:t>
            </w:r>
          </w:p>
        </w:tc>
        <w:tc>
          <w:tcPr>
            <w:tcW w:type="dxa" w:w="1728"/>
          </w:tcPr>
          <w:p>
            <w:r/>
            <w:r>
              <w:t>[−0.61%, −0.13%]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</w:tbl>
    <w:p/>
    <w:p>
      <w:r>
        <w:rPr>
          <w:b/>
        </w:rPr>
        <w:t>Coverage:</w:t>
      </w:r>
      <w:r>
        <w:t xml:space="preserve"> experiment titles = </w:t>
      </w:r>
      <w:r>
        <w:rPr>
          <w:b/>
        </w:rPr>
        <w:t>13.10%</w:t>
      </w:r>
      <w:r>
        <w:t xml:space="preserve"> of exposed-device TVT.</w:t>
      </w:r>
    </w:p>
    <w:p>
      <w:r>
        <w:rPr>
          <w:b/>
        </w:rPr>
        <w:t>Ad-break density (ABF3 titles):</w:t>
      </w:r>
      <w:r>
        <w:t xml:space="preserve"> Control 13.58 → Test 14.53 breaks/hr (</w:t>
      </w:r>
      <w:r>
        <w:rPr>
          <w:b/>
        </w:rPr>
        <w:t>+6.98%</w:t>
      </w:r>
      <w:r>
        <w:t>). ABF3 pruned to ABF2 density runs hotter than the sparse ABF1 baseline, so the lift carries a residual quantity component (not pure quality) — consistent with the v4 ABF3-vs-ABF1 finding.</w:t>
      </w:r>
    </w:p>
    <w:p>
      <w:pPr>
        <w:pStyle w:val="Heading1"/>
      </w:pPr>
      <w:r/>
      <w:r>
        <w:t>2. Generalization to all ABF1 titles (the graduation question)</w:t>
      </w:r>
    </w:p>
    <w:p>
      <w:r>
        <w:t xml:space="preserve">At graduation, ABF3 would run on </w:t>
      </w:r>
      <w:r>
        <w:rPr>
          <w:b/>
        </w:rPr>
        <w:t>all ABF1 titles ≈ 45% of TVT</w:t>
      </w:r>
      <w:r>
        <w:t xml:space="preserve">. We cannot process the whole catalog in-experiment, so the question is whether a </w:t>
      </w:r>
      <w:r>
        <w:rPr>
          <w:b/>
        </w:rPr>
        <w:t>random sample</w:t>
      </w:r>
      <w:r>
        <w:t xml:space="preserve"> generalizes. Selection was random; the work is to (a) verify the draw didn't skew and (b) quantify </w:t>
      </w:r>
      <w:r>
        <w:rPr>
          <w:b/>
        </w:rPr>
        <w:t>title-level</w:t>
      </w:r>
      <w:r>
        <w:t xml:space="preserve"> (not device-level) uncertainty.</w:t>
      </w:r>
    </w:p>
    <w:p>
      <w:r>
        <w:rPr>
          <w:b/>
        </w:rPr>
        <w:t>ABF1 universe defined as</w:t>
      </w:r>
      <w:r>
        <w:t xml:space="preserve"> </w:t>
      </w:r>
      <w:r>
        <w:rPr>
          <w:rFonts w:ascii="Consolas" w:hAnsi="Consolas"/>
          <w:sz w:val="20"/>
        </w:rPr>
        <w:t>{titles with no ABF cue points (has_abf=0)} ∪ {1,084 experiment titles}</w:t>
      </w:r>
      <w:r>
        <w:t xml:space="preserve"> = </w:t>
      </w:r>
      <w:r>
        <w:rPr>
          <w:b/>
        </w:rPr>
        <w:t>492,024 titles</w:t>
      </w:r>
      <w:r>
        <w:t xml:space="preserve">. ABF1 baseline density = count of </w:t>
      </w:r>
      <w:r>
        <w:rPr>
          <w:rFonts w:ascii="Consolas" w:hAnsi="Consolas"/>
          <w:sz w:val="20"/>
        </w:rPr>
        <w:t>cue_points</w:t>
      </w:r>
      <w:r>
        <w:t xml:space="preserve"> (the served, pre-ABF cue points). All TVT weighting uses the 14-day pre-launch window </w:t>
      </w:r>
      <w:r>
        <w:rPr>
          <w:b/>
        </w:rPr>
        <w:t>2026-05-15 → 2026-05-28</w:t>
      </w:r>
      <w:r>
        <w:t>.</w:t>
      </w:r>
    </w:p>
    <w:p>
      <w:r>
        <w:rPr>
          <w:b/>
        </w:rPr>
        <w:t>On the size of the ABF1 universe — CONFIRMED denominator (replaces the earlier "~45% of TVT" planning figure):</w:t>
      </w:r>
      <w:r>
        <w:t xml:space="preserve"> Measured against total platform TVT/revenue over the 14-day pre-launch window, this universe is </w:t>
      </w:r>
      <w:r>
        <w:rPr>
          <w:b/>
        </w:rPr>
        <w:t>36.7% of TVT and 36.2% of unbudgeted revenue</w:t>
      </w:r>
      <w:r>
        <w:t xml:space="preserve"> — confirmed as the official graduation denominator and used for the global projection below. The earlier ~45% figure was a planning estimate that could not be reproduced under any definition tested (strict untreated-ABF1 = 21.5% TVT @14d / 29.4% @90d; our </w:t>
      </w:r>
      <w:r>
        <w:rPr>
          <w:rFonts w:ascii="Consolas" w:hAnsi="Consolas"/>
          <w:sz w:val="20"/>
        </w:rPr>
        <w:t>∪ exp</w:t>
      </w:r>
      <w:r>
        <w:t xml:space="preserve"> universe = 36.7% @14d / 39.6% @90d); 36% is the value consistent with the data actually used here.</w:t>
      </w:r>
    </w:p>
    <w:p>
      <w:pPr>
        <w:pStyle w:val="Heading2"/>
      </w:pPr>
      <w:r/>
      <w:r>
        <w:t>2a. Representativeness (sample vs rest of universe)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Sample (1,084)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 of universe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t>TVT share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41.4%</w:t>
            </w:r>
          </w:p>
        </w:tc>
        <w:tc>
          <w:tcPr>
            <w:tcW w:type="dxa" w:w="2160"/>
          </w:tcPr>
          <w:p>
            <w:r/>
            <w:r>
              <w:t>58.6%</w:t>
            </w:r>
          </w:p>
        </w:tc>
        <w:tc>
          <w:tcPr>
            <w:tcW w:type="dxa" w:w="2160"/>
          </w:tcPr>
          <w:p>
            <w:r/>
            <w:r>
              <w:t>sample = large titles</w:t>
            </w:r>
          </w:p>
        </w:tc>
      </w:tr>
      <w:tr>
        <w:tc>
          <w:tcPr>
            <w:tcW w:type="dxa" w:w="2160"/>
          </w:tcPr>
          <w:p>
            <w:r/>
            <w:r>
              <w:t>ABF1 density, unweighted</w:t>
            </w:r>
          </w:p>
        </w:tc>
        <w:tc>
          <w:tcPr>
            <w:tcW w:type="dxa" w:w="2160"/>
          </w:tcPr>
          <w:p>
            <w:r/>
            <w:r>
              <w:t>7.44</w:t>
            </w:r>
          </w:p>
        </w:tc>
        <w:tc>
          <w:tcPr>
            <w:tcW w:type="dxa" w:w="2160"/>
          </w:tcPr>
          <w:p>
            <w:r/>
            <w:r>
              <w:t>2.80</w:t>
            </w:r>
          </w:p>
        </w:tc>
        <w:tc>
          <w:tcPr>
            <w:tcW w:type="dxa" w:w="2160"/>
          </w:tcPr>
          <w:p>
            <w:r/>
            <w:r>
              <w:t>std diff 1.19 (huge)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ABF1 density, TVT-weighted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8.95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7.43</w:t>
            </w:r>
          </w:p>
        </w:tc>
        <w:tc>
          <w:tcPr>
            <w:tcW w:type="dxa" w:w="2160"/>
          </w:tcPr>
          <w:p>
            <w:r/>
            <w:r>
              <w:t>close</w:t>
            </w:r>
          </w:p>
        </w:tc>
      </w:tr>
      <w:tr>
        <w:tc>
          <w:tcPr>
            <w:tcW w:type="dxa" w:w="2160"/>
          </w:tcPr>
          <w:p>
            <w:r/>
            <w:r>
              <w:t>Duration, unweighted</w:t>
            </w:r>
          </w:p>
        </w:tc>
        <w:tc>
          <w:tcPr>
            <w:tcW w:type="dxa" w:w="2160"/>
          </w:tcPr>
          <w:p>
            <w:r/>
            <w:r>
              <w:t>4,476s</w:t>
            </w:r>
          </w:p>
        </w:tc>
        <w:tc>
          <w:tcPr>
            <w:tcW w:type="dxa" w:w="2160"/>
          </w:tcPr>
          <w:p>
            <w:r/>
            <w:r>
              <w:t>1,859s</w:t>
            </w:r>
          </w:p>
        </w:tc>
        <w:tc>
          <w:tcPr>
            <w:tcW w:type="dxa" w:w="2160"/>
          </w:tcPr>
          <w:p>
            <w:r/>
            <w:r>
              <w:t>std diff 1.26 (huge)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Duration, TVT-weighted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5,514s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4,509s</w:t>
            </w:r>
          </w:p>
        </w:tc>
        <w:tc>
          <w:tcPr>
            <w:tcW w:type="dxa" w:w="2160"/>
          </w:tcPr>
          <w:p>
            <w:r/>
            <w:r>
              <w:t>close</w:t>
            </w:r>
          </w:p>
        </w:tc>
      </w:tr>
    </w:tbl>
    <w:p/>
    <w:p>
      <w:r>
        <w:t xml:space="preserve">Raw per-title skew is large but driven by the long tail: only 164,862 of 490,940 non-experiment titles (34%) have any TVT. On the </w:t>
      </w:r>
      <w:r>
        <w:rPr>
          <w:b/>
        </w:rPr>
        <w:t>TVT-weighted</w:t>
      </w:r>
      <w:r>
        <w:t xml:space="preserve"> basis that matters for graduation, the sample is close to the population (residual ~15–20% higher density/duration).</w:t>
      </w:r>
    </w:p>
    <w:p>
      <w:pPr>
        <w:pStyle w:val="Heading2"/>
      </w:pPr>
      <w:r/>
      <w:r>
        <w:t>2b. Heterogeneity — revenue lift by ABF1 density decile (ToT, ABF3 titles)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Decile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Density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Rev lift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TVT lift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1–2</w:t>
            </w:r>
          </w:p>
        </w:tc>
        <w:tc>
          <w:tcPr>
            <w:tcW w:type="dxa" w:w="2160"/>
          </w:tcPr>
          <w:p>
            <w:r/>
            <w:r>
              <w:t>+2.47%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+4.72%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2–4</w:t>
            </w:r>
          </w:p>
        </w:tc>
        <w:tc>
          <w:tcPr>
            <w:tcW w:type="dxa" w:w="2160"/>
          </w:tcPr>
          <w:p>
            <w:r/>
            <w:r>
              <w:t>+4.86%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4–7</w:t>
            </w:r>
          </w:p>
        </w:tc>
        <w:tc>
          <w:tcPr>
            <w:tcW w:type="dxa" w:w="2160"/>
          </w:tcPr>
          <w:p>
            <w:r/>
            <w:r>
              <w:t>+1.16%</w:t>
            </w:r>
          </w:p>
        </w:tc>
        <w:tc>
          <w:tcPr>
            <w:tcW w:type="dxa" w:w="2160"/>
          </w:tcPr>
          <w:p>
            <w:r/>
            <w:r>
              <w:t>−0.73%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7–8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+12.32%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8–9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+10.34%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9–10</w:t>
            </w:r>
          </w:p>
        </w:tc>
        <w:tc>
          <w:tcPr>
            <w:tcW w:type="dxa" w:w="2160"/>
          </w:tcPr>
          <w:p>
            <w:r/>
            <w:r>
              <w:t>+7.92%</w:t>
            </w:r>
          </w:p>
        </w:tc>
        <w:tc>
          <w:tcPr>
            <w:tcW w:type="dxa" w:w="2160"/>
          </w:tcPr>
          <w:p>
            <w:r/>
            <w:r>
              <w:t>−0.38%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10–11</w:t>
            </w:r>
          </w:p>
        </w:tc>
        <w:tc>
          <w:tcPr>
            <w:tcW w:type="dxa" w:w="2160"/>
          </w:tcPr>
          <w:p>
            <w:r/>
            <w:r>
              <w:t>+7.03%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11–12</w:t>
            </w:r>
          </w:p>
        </w:tc>
        <w:tc>
          <w:tcPr>
            <w:tcW w:type="dxa" w:w="2160"/>
          </w:tcPr>
          <w:p>
            <w:r/>
            <w:r>
              <w:t>+5.53%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12–36</w:t>
            </w:r>
          </w:p>
        </w:tc>
        <w:tc>
          <w:tcPr>
            <w:tcW w:type="dxa" w:w="2160"/>
          </w:tcPr>
          <w:p>
            <w:r/>
            <w:r>
              <w:t>+2.84%</w:t>
            </w:r>
          </w:p>
        </w:tc>
        <w:tc>
          <w:tcPr>
            <w:tcW w:type="dxa" w:w="2160"/>
          </w:tcPr>
          <w:p>
            <w:r/>
            <w:r>
              <w:t>flat</w:t>
            </w:r>
          </w:p>
        </w:tc>
      </w:tr>
    </w:tbl>
    <w:p/>
    <w:p>
      <w:r>
        <w:t xml:space="preserve">By content type: </w:t>
      </w:r>
      <w:r>
        <w:rPr>
          <w:b/>
        </w:rPr>
        <w:t>MOVIE +8.14%</w:t>
      </w:r>
      <w:r>
        <w:t xml:space="preserve">, </w:t>
      </w:r>
      <w:r>
        <w:rPr>
          <w:b/>
        </w:rPr>
        <w:t>SERIES +1.95%</w:t>
      </w:r>
      <w:r>
        <w:t xml:space="preserve"> revenue; flat TVT both. The lift is </w:t>
      </w:r>
      <w:r>
        <w:rPr>
          <w:b/>
        </w:rPr>
        <w:t>heterogeneous</w:t>
      </w:r>
      <w:r>
        <w:t xml:space="preserve"> (peaks at mid-density 7–9 cue points), so a naive average could mislead — motivating the projection below. </w:t>
      </w:r>
      <w:r>
        <w:rPr>
          <w:b/>
        </w:rPr>
        <w:t>TVT is flat-to-slightly-negative in every cut.</w:t>
      </w:r>
    </w:p>
    <w:p>
      <w:pPr>
        <w:pStyle w:val="Heading2"/>
      </w:pPr>
      <w:r/>
      <w:r>
        <w:t>2c. Title-clustered CI &amp; poststratified projection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Naive sample lift (TVT-weighted, per-title basis)</w:t>
            </w:r>
          </w:p>
        </w:tc>
        <w:tc>
          <w:tcPr>
            <w:tcW w:type="dxa" w:w="4320"/>
          </w:tcPr>
          <w:p>
            <w:r/>
            <w:r>
              <w:t>+7.25%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Poststratified projection onto full ABF1 universe (TVT-weighted)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+7.00%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Title-clustered 95% CI</w:t>
            </w:r>
            <w:r>
              <w:t xml:space="preserve"> (2,000-iter title bootstrap)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[+6.06%, +8.45%]</w:t>
            </w:r>
          </w:p>
        </w:tc>
      </w:tr>
      <w:tr>
        <w:tc>
          <w:tcPr>
            <w:tcW w:type="dxa" w:w="4320"/>
          </w:tcPr>
          <w:p>
            <w:r/>
            <w:r>
              <w:t>Device-level CI (for contrast)</w:t>
            </w:r>
          </w:p>
        </w:tc>
        <w:tc>
          <w:tcPr>
            <w:tcW w:type="dxa" w:w="4320"/>
          </w:tcPr>
          <w:p>
            <w:r/>
            <w:r>
              <w:t>[+5.45%, +5.94%]</w:t>
            </w:r>
          </w:p>
        </w:tc>
      </w:tr>
    </w:tbl>
    <w:p/>
    <w:p>
      <w:r>
        <w:t xml:space="preserve">This projection reweights decile lifts by each decile's </w:t>
      </w:r>
      <w:r>
        <w:rPr>
          <w:b/>
        </w:rPr>
        <w:t>TVT share</w:t>
      </w:r>
      <w:r>
        <w:t xml:space="preserve"> in the full universe (shares 10.6%–14.9%) and lands at </w:t>
      </w:r>
      <w:r>
        <w:rPr>
          <w:b/>
        </w:rPr>
        <w:t>+7.0%</w:t>
      </w:r>
      <w:r>
        <w:t xml:space="preserve">, essentially equal to the naive sample lift — the population's even spread of TVT across density buckets balances the high- and low-lift regions the same way the sample does. The title-clustered CI is far wider than the device CI (as it should be — it reflects title-draw variance) but is </w:t>
      </w:r>
      <w:r>
        <w:rPr>
          <w:b/>
        </w:rPr>
        <w:t>comfortably positive</w:t>
      </w:r>
      <w:r>
        <w:t xml:space="preserve">. </w:t>
      </w:r>
      <w:r>
        <w:rPr>
          <w:b/>
        </w:rPr>
        <w:t>Note:</w:t>
      </w:r>
      <w:r>
        <w:t xml:space="preserve"> §2d reweights the same per-decile lifts by </w:t>
      </w:r>
      <w:r>
        <w:rPr>
          <w:b/>
        </w:rPr>
        <w:t>revenue share</w:t>
      </w:r>
      <w:r>
        <w:t xml:space="preserve"> instead (giving </w:t>
      </w:r>
      <w:r>
        <w:rPr>
          <w:b/>
        </w:rPr>
        <w:t>+6.04%</w:t>
      </w:r>
      <w:r>
        <w:t>), which is the correct basis for the *global revenue* dilution; the ~1pp TVT-vs-revenue difference reflects that revenue-per-watch-hour varies across density deciles. Both confirm a robust +6–7% on-ABF1-title lift.</w:t>
      </w:r>
    </w:p>
    <w:p>
      <w:pPr>
        <w:pStyle w:val="Heading2"/>
      </w:pPr>
      <w:r/>
      <w:r>
        <w:t>2d. Global (topline) lift if ABF3 graduates on all ABF1 titles</w:t>
      </w:r>
    </w:p>
    <w:p>
      <w:r>
        <w:t xml:space="preserve">Notebook: </w:t>
      </w:r>
      <w:r>
        <w:rPr>
          <w:rFonts w:ascii="Consolas" w:hAnsi="Consolas"/>
          <w:sz w:val="20"/>
        </w:rPr>
        <w:t>ads_abf_3_v6__global_graduation_projection</w:t>
      </w:r>
      <w:r>
        <w:t>. The on-ABF1-title lift dilutes globally because ABF1 titles are only a share of total revenue and not all devices watch them. Global lift = Σ_decile(decile_rev_lift × decile_revenue_in_full_universe) / total_platform_revenue (revenue-weighted poststratification; non-watchers sit in the denominator with zero numerator, so device exposure is handled automatically).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ABF1 revenue share of total (14d pre-launch)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36.2%</w:t>
            </w:r>
          </w:p>
        </w:tc>
      </w:tr>
      <w:tr>
        <w:tc>
          <w:tcPr>
            <w:tcW w:type="dxa" w:w="4320"/>
          </w:tcPr>
          <w:p>
            <w:r/>
            <w:r>
              <w:t>ABF1 TVT share of total (14d pre-launch)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36.7%</w:t>
            </w:r>
          </w:p>
        </w:tc>
      </w:tr>
      <w:tr>
        <w:tc>
          <w:tcPr>
            <w:tcW w:type="dxa" w:w="4320"/>
          </w:tcPr>
          <w:p>
            <w:r/>
            <w:r>
              <w:t>Device exposure (watch ≥1 ABF1 title, 14d)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70.1%</w:t>
            </w:r>
            <w:r>
              <w:t xml:space="preserve"> (39.4M / 56.3M)</w:t>
            </w:r>
          </w:p>
        </w:tc>
      </w:tr>
      <w:tr>
        <w:tc>
          <w:tcPr>
            <w:tcW w:type="dxa" w:w="4320"/>
          </w:tcPr>
          <w:p>
            <w:r/>
            <w:r>
              <w:t>ABF1-wide revenue lift (rev-weighted, skew-corrected)</w:t>
            </w:r>
          </w:p>
        </w:tc>
        <w:tc>
          <w:tcPr>
            <w:tcW w:type="dxa" w:w="4320"/>
          </w:tcPr>
          <w:p>
            <w:r/>
            <w:r>
              <w:t>+6.02%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➡ GLOBAL unbudgeted-revenue lift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+2.18%</w:t>
            </w:r>
            <w:r>
              <w:t xml:space="preserve"> (CI [+1.99%, +2.37%])</w:t>
            </w:r>
          </w:p>
        </w:tc>
      </w:tr>
    </w:tbl>
    <w:p/>
    <w:p>
      <w:r>
        <w:rPr>
          <w:b/>
        </w:rPr>
        <w:t>Denominator confirmed at 36.2% revenue share</w:t>
      </w:r>
      <w:r>
        <w:t xml:space="preserve"> (the official basis). For reference, the global lift scales ~linearly with the share — were the universe defined more broadly (e.g. ~45%), the global lift would rise to ~+2.7%; the on-title +6% lift is unchanged, only the denominator moves.</w:t>
      </w:r>
    </w:p>
    <w:p>
      <w:pPr>
        <w:pStyle w:val="Heading2"/>
      </w:pPr>
      <w:r/>
      <w:r>
        <w:t>2e. Why the global estimate (+2.2%) differs from the ITT all-titles lift (+0.83%) — and why they agree</w:t>
      </w:r>
    </w:p>
    <w:p>
      <w:r>
        <w:t xml:space="preserve">A natural question: the experiment's </w:t>
      </w:r>
      <w:r>
        <w:rPr>
          <w:b/>
        </w:rPr>
        <w:t>ITT all-titles</w:t>
      </w:r>
      <w:r>
        <w:t xml:space="preserve"> revenue lift is only </w:t>
      </w:r>
      <w:r>
        <w:rPr>
          <w:b/>
        </w:rPr>
        <w:t>+0.83%</w:t>
      </w:r>
      <w:r>
        <w:t xml:space="preserve"> (§3) — shouldn't *that* be the graduation number, since it already dilutes across the whole device base? </w:t>
      </w:r>
      <w:r>
        <w:rPr>
          <w:b/>
        </w:rPr>
        <w:t>No — and the gap is purely coverage, not a contradiction.</w:t>
      </w:r>
      <w:r>
        <w:t xml:space="preserve"> Reconciling the two is in fact the strongest cross-check on the +2.2%.</w:t>
      </w:r>
    </w:p>
    <w:p>
      <w:r>
        <w:rPr>
          <w:b/>
        </w:rPr>
        <w:t>What each number represents:</w:t>
      </w:r>
    </w:p>
    <w:p>
      <w:pPr>
        <w:pStyle w:val="ListBullet"/>
      </w:pPr>
      <w:r>
        <w:rPr>
          <w:b/>
        </w:rPr>
        <w:t>+0.83% (ITT all-titles)</w:t>
      </w:r>
      <w:r>
        <w:t xml:space="preserve"> = the global effect *at the experiment's current coverage* — treatment only changes cue points on the </w:t>
      </w:r>
      <w:r>
        <w:rPr>
          <w:b/>
        </w:rPr>
        <w:t>1,084</w:t>
      </w:r>
      <w:r>
        <w:t xml:space="preserve"> titles. It is exactly "what we'd get if we only ever shipped ABF3 on these 1,084 titles."</w:t>
      </w:r>
    </w:p>
    <w:p>
      <w:pPr>
        <w:pStyle w:val="ListBullet"/>
      </w:pPr>
      <w:r>
        <w:rPr>
          <w:b/>
        </w:rPr>
        <w:t>+2.2% (global projection)</w:t>
      </w:r>
      <w:r>
        <w:t xml:space="preserve"> = the global effect at *full ABF1 coverage* (~492K titles) — which is what graduation actually is.</w:t>
      </w:r>
    </w:p>
    <w:p>
      <w:r>
        <w:t xml:space="preserve">The difference is the </w:t>
      </w:r>
      <w:r>
        <w:rPr>
          <w:b/>
        </w:rPr>
        <w:t>coverage gap</w:t>
      </w:r>
      <w:r>
        <w:t xml:space="preserve"> between the 1,084 experiment titles and all ABF1 titles.</w:t>
      </w:r>
    </w:p>
    <w:p>
      <w:r>
        <w:rPr>
          <w:b/>
        </w:rPr>
        <w:t>Two independent methods bracket +1.9% to +2.2%: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Computation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Global revenue lift</w:t>
            </w:r>
          </w:p>
        </w:tc>
      </w:tr>
      <w:tr>
        <w:tc>
          <w:tcPr>
            <w:tcW w:type="dxa" w:w="2880"/>
          </w:tcPr>
          <w:p>
            <w:r/>
            <w:r>
              <w:t>Scale ITT all-titles by coverage ratio</w:t>
            </w:r>
          </w:p>
        </w:tc>
        <w:tc>
          <w:tcPr>
            <w:tcW w:type="dxa" w:w="2880"/>
          </w:tcPr>
          <w:p>
            <w:r/>
            <w:r>
              <w:t xml:space="preserve">+0.83% × (36.2% / </w:t>
            </w:r>
            <w:r>
              <w:rPr>
                <w:b/>
              </w:rPr>
              <w:t>15.75%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+1.9%</w:t>
            </w:r>
          </w:p>
        </w:tc>
      </w:tr>
      <w:tr>
        <w:tc>
          <w:tcPr>
            <w:tcW w:type="dxa" w:w="2880"/>
          </w:tcPr>
          <w:p>
            <w:r/>
            <w:r>
              <w:t>Poststratified decile projection (§2d)</w:t>
            </w:r>
          </w:p>
        </w:tc>
        <w:tc>
          <w:tcPr>
            <w:tcW w:type="dxa" w:w="2880"/>
          </w:tcPr>
          <w:p>
            <w:r/>
            <w:r>
              <w:t>+6.04% ABF1-wide × 36.2% rev share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+2.2%</w:t>
            </w:r>
          </w:p>
        </w:tc>
      </w:tr>
    </w:tbl>
    <w:p/>
    <w:p>
      <w:r>
        <w:t xml:space="preserve">The coverage-scaling method uses the identity </w:t>
      </w:r>
      <w:r>
        <w:rPr>
          <w:rFonts w:ascii="Consolas" w:hAnsi="Consolas"/>
          <w:sz w:val="20"/>
        </w:rPr>
        <w:t>ITT all-titles lift = on-title lift × treated-titles' revenue share</w:t>
      </w:r>
      <w:r>
        <w:t xml:space="preserve">. The 1,084 experiment titles' revenue share was </w:t>
      </w:r>
      <w:r>
        <w:rPr>
          <w:b/>
        </w:rPr>
        <w:t>measured directly at 15.75%</w:t>
      </w:r>
      <w:r>
        <w:t xml:space="preserve"> of total unbudgeted revenue (14d pre-launch window) — not inferred. Graduation lifts coverage to the full ABF1 universe = </w:t>
      </w:r>
      <w:r>
        <w:rPr>
          <w:b/>
        </w:rPr>
        <w:t>36.2%</w:t>
      </w:r>
      <w:r>
        <w:t xml:space="preserve"> of revenue, so scaling +0.83% by </w:t>
      </w:r>
      <w:r>
        <w:rPr>
          <w:rFonts w:ascii="Consolas" w:hAnsi="Consolas"/>
          <w:sz w:val="20"/>
        </w:rPr>
        <w:t>36.2 / 15.75 ≈ 2.30×</w:t>
      </w:r>
      <w:r>
        <w:t xml:space="preserve"> gives </w:t>
      </w:r>
      <w:r>
        <w:rPr>
          <w:b/>
        </w:rPr>
        <w:t>+1.9%</w:t>
      </w:r>
      <w:r>
        <w:t>, against the poststratified +2.2% built bottom-up from decile lifts. The two paths share no construction, so bracketing the same ~+2% validates the estimate.</w:t>
      </w:r>
    </w:p>
    <w:p>
      <w:r>
        <w:rPr>
          <w:b/>
        </w:rPr>
        <w:t>The ~0.3pp gap is itself informative.</w:t>
      </w:r>
      <w:r>
        <w:t xml:space="preserve"> The ITT identity implies an on-experiment-title lift of </w:t>
      </w:r>
      <w:r>
        <w:rPr>
          <w:rFonts w:ascii="Consolas" w:hAnsi="Consolas"/>
          <w:sz w:val="20"/>
        </w:rPr>
        <w:t>0.83% / 0.1575 ≈ 5.3%</w:t>
      </w:r>
      <w:r>
        <w:t xml:space="preserve">, slightly below the directly-measured ITT abf3-only lift of </w:t>
      </w:r>
      <w:r>
        <w:rPr>
          <w:b/>
        </w:rPr>
        <w:t>5.80%</w:t>
      </w:r>
      <w:r>
        <w:t xml:space="preserve"> and the poststratified ABF1-wide </w:t>
      </w:r>
      <w:r>
        <w:rPr>
          <w:b/>
        </w:rPr>
        <w:t>6.04%</w:t>
      </w:r>
      <w:r>
        <w:t>. This means the random 1,084 draw landed on titles whose realized lift is a touch *below* the full-universe projection — consistent with the sample's dense/long skew (§2a) over-indexing on density deciles that are not the highest-lift ones (§2b). So the linear coverage scale-up (+1.9%) is, if anything, a mild floor and the poststratified +2.2% the better central estimate.</w:t>
      </w:r>
    </w:p>
    <w:p>
      <w:r>
        <w:rPr>
          <w:b/>
        </w:rPr>
        <w:t>Device-exposure view (same story, devices instead of revenue):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Titles treated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Device exposure (watch ≥1)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Treated-titles' revenue share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Experiment</w:t>
            </w:r>
          </w:p>
        </w:tc>
        <w:tc>
          <w:tcPr>
            <w:tcW w:type="dxa" w:w="2160"/>
          </w:tcPr>
          <w:p>
            <w:r/>
            <w:r>
              <w:t>1,084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36%</w:t>
            </w:r>
            <w:r>
              <w:t xml:space="preserve"> (ToT 7.11M / ITT 19.70M)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15.75%</w:t>
            </w:r>
            <w:r>
              <w:t xml:space="preserve"> (measured)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Graduation</w:t>
            </w:r>
          </w:p>
        </w:tc>
        <w:tc>
          <w:tcPr>
            <w:tcW w:type="dxa" w:w="2160"/>
          </w:tcPr>
          <w:p>
            <w:r/>
            <w:r>
              <w:t>~492K (all ABF1)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70%</w:t>
            </w:r>
            <w:r>
              <w:t xml:space="preserve"> (39.4M / 56.3M)</w:t>
            </w:r>
          </w:p>
        </w:tc>
        <w:tc>
          <w:tcPr>
            <w:tcW w:type="dxa" w:w="2160"/>
          </w:tcPr>
          <w:p>
            <w:r/>
            <w:r>
              <w:t>36.2% (measured)</w:t>
            </w:r>
          </w:p>
        </w:tc>
      </w:tr>
    </w:tbl>
    <w:p/>
    <w:p>
      <w:r>
        <w:t xml:space="preserve">Graduation roughly </w:t>
      </w:r>
      <w:r>
        <w:rPr>
          <w:b/>
        </w:rPr>
        <w:t>doubles device exposure</w:t>
      </w:r>
      <w:r>
        <w:t xml:space="preserve"> (36% → 70%) and </w:t>
      </w:r>
      <w:r>
        <w:rPr>
          <w:b/>
        </w:rPr>
        <w:t>2.3×'s revenue coverage</w:t>
      </w:r>
      <w:r>
        <w:t xml:space="preserve"> (15.75% → 36.2%) versus the experiment, because it covers ~450× more titles. Both ratios point the same direction; the revenue-share ratio is the one that drives the global estimate. (Exposure figures are over slightly different windows — experiment-period for 36%, 14d pre-launch for 70% — and are directional; the revenue-based projection does not depend on them. The 15.75% and 36.2% revenue shares are both measured over the same 14d pre-launch window.)</w:t>
      </w:r>
    </w:p>
    <w:p>
      <w:r>
        <w:rPr>
          <w:b/>
        </w:rPr>
        <w:t>Bottom line:</w:t>
      </w:r>
      <w:r>
        <w:t xml:space="preserve"> +0.83% is the correct *current-coverage* global effect and the right structural cross-check; the graduation effect is that same effect scaled to full ABF1 coverage. Coverage-scaling (+1.9%) and bottom-up poststratification (+2.2%) bracket the estimate. Carrying the title-clustered uncertainty through the 36.2% dilution, the defensible launch range is </w:t>
      </w:r>
      <w:r>
        <w:rPr>
          <w:b/>
        </w:rPr>
        <w:t>~+1.9% to +2.5% global unbudgeted revenue</w:t>
      </w:r>
      <w:r>
        <w:t xml:space="preserve">, point estimate </w:t>
      </w:r>
      <w:r>
        <w:rPr>
          <w:b/>
        </w:rPr>
        <w:t>~+2.2%</w:t>
      </w:r>
      <w:r>
        <w:t>, with global TVT in the −0.05% to −0.40% range (§2f).</w:t>
      </w:r>
    </w:p>
    <w:p>
      <w:pPr>
        <w:pStyle w:val="Heading2"/>
      </w:pPr>
      <w:r/>
      <w:r>
        <w:t>2f. Global TVT impact of graduating — two estimates</w:t>
      </w:r>
    </w:p>
    <w:p>
      <w:r>
        <w:t xml:space="preserve">TVT requires more care than revenue. Revenue is *additive across titles* — treatment only changes ABF1-title monetization, so the global revenue effect is cleanly the on-title lift × revenue share. TVT can </w:t>
      </w:r>
      <w:r>
        <w:rPr>
          <w:b/>
        </w:rPr>
        <w:t>spill across titles</w:t>
      </w:r>
      <w:r>
        <w:t>: if heavier ABF1 ad loads make a device watch less *overall* (not just less of the treated titles), the global TVT hit exceeds what the on-title decline alone implies. We bound it two ways.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assumes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Computation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Global TVT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1. On-title dilution</w:t>
            </w:r>
          </w:p>
        </w:tc>
        <w:tc>
          <w:tcPr>
            <w:tcW w:type="dxa" w:w="2160"/>
          </w:tcPr>
          <w:p>
            <w:r/>
            <w:r>
              <w:t>No spillover — only treated-title TVT changes</w:t>
            </w:r>
          </w:p>
        </w:tc>
        <w:tc>
          <w:tcPr>
            <w:tcW w:type="dxa" w:w="2160"/>
          </w:tcPr>
          <w:p>
            <w:r/>
            <w:r>
              <w:t>ABF1-wide TVT lift (−0.14%) × 36.7% TVT share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−0.05%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2. Coverage-scaling</w:t>
            </w:r>
          </w:p>
        </w:tc>
        <w:tc>
          <w:tcPr>
            <w:tcW w:type="dxa" w:w="2160"/>
          </w:tcPr>
          <w:p>
            <w:r/>
            <w:r>
              <w:t>Captures spillover — uses full-footprint TVT effect</w:t>
            </w:r>
          </w:p>
        </w:tc>
        <w:tc>
          <w:tcPr>
            <w:tcW w:type="dxa" w:w="2160"/>
          </w:tcPr>
          <w:p>
            <w:r/>
            <w:r>
              <w:t>ITT all-titles TVT lift (−0.164%) × (36.7% / 15.17% TVT coverage ratio)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−0.40%</w:t>
            </w:r>
          </w:p>
        </w:tc>
      </w:tr>
    </w:tbl>
    <w:p/>
    <w:p>
      <w:r>
        <w:t xml:space="preserve">Method 2 scales the </w:t>
      </w:r>
      <w:r>
        <w:rPr>
          <w:b/>
        </w:rPr>
        <w:t>ITT all-titles</w:t>
      </w:r>
      <w:r>
        <w:t xml:space="preserve"> TVT lift (−0.164%, the device's whole-footprint effect at current 1,084-title coverage) by the TVT-coverage ratio (ABF1 TVT share 36.7% ÷ experiment-title TVT share 15.17% ≈ 2.4×).</w:t>
      </w:r>
    </w:p>
    <w:p>
      <w:r>
        <w:rPr>
          <w:b/>
        </w:rPr>
        <w:t>The −0.4% end is the more realistic estimate.</w:t>
      </w:r>
      <w:r>
        <w:t xml:space="preserve"> Evidence of real spillover: the measured all-titles TVT decline (ITT −0.16%, ToT −0.20%, both significant, §1) is *larger* than on-ABF1-title losses scaled by coverage would produce under a no-spillover assumption. That gap means added ABF1 ad breaks modestly suppress total watch time, not merely shift it. The effect is small (≈ −0.4% of total TVT) but real, and it — not the near-zero method-1 figure — is what should be weighed against the +2.2% revenue gain.</w:t>
      </w:r>
    </w:p>
    <w:p>
      <w:r>
        <w:rPr>
          <w:b/>
        </w:rPr>
        <w:t>Caveat:</w:t>
      </w:r>
      <w:r>
        <w:t xml:space="preserve"> coverage-scaling assumes the substitution intensity stays constant as coverage expands from 1,084 to ~492K titles. At much higher exposure the per-device behavioral response could differ; −0.4% is the best current estimate, not a guarantee.</w:t>
      </w:r>
    </w:p>
    <w:p>
      <w:pPr>
        <w:pStyle w:val="Heading1"/>
      </w:pPr>
      <w:r/>
      <w:r>
        <w:t>3. Cross-validation against the Statsig dashboard (CURE)</w:t>
      </w:r>
    </w:p>
    <w:p>
      <w:r>
        <w:t xml:space="preserve">The experiment also runs on Statsig, which reports </w:t>
      </w:r>
      <w:r>
        <w:rPr>
          <w:b/>
        </w:rPr>
        <w:t>ITT, all-titles</w:t>
      </w:r>
      <w:r>
        <w:t xml:space="preserve"> results using its proprietary variance-reduction method </w:t>
      </w:r>
      <w:r>
        <w:rPr>
          <w:b/>
        </w:rPr>
        <w:t>CURE</w:t>
      </w:r>
      <w:r>
        <w:t>. This is an independent check on our CUPED pipeline — different code, different variance-reduction technique, same underlying experiment. Statsig dashboard refreshed 2026-06-04.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 (ITT, all-titles)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Statsig (CURE)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Ours (CUPED)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Aligned?</w:t>
            </w:r>
          </w:p>
        </w:tc>
      </w:tr>
      <w:tr>
        <w:tc>
          <w:tcPr>
            <w:tcW w:type="dxa" w:w="2160"/>
          </w:tcPr>
          <w:p>
            <w:r/>
            <w:r>
              <w:t>Unbudgeted revenue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+0.72% ± 0.20%</w:t>
            </w:r>
            <w:r>
              <w:t xml:space="preserve"> → [+0.52%, +0.92%]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+0.84%</w:t>
            </w:r>
            <w:r>
              <w:t xml:space="preserve"> [+0.72%, +0.95%]</w:t>
            </w:r>
          </w:p>
        </w:tc>
        <w:tc>
          <w:tcPr>
            <w:tcW w:type="dxa" w:w="2160"/>
          </w:tcPr>
          <w:p>
            <w:r/>
            <w:r>
              <w:t>yes — both significant; each point estimate falls inside the other's CI</w:t>
            </w:r>
          </w:p>
        </w:tc>
      </w:tr>
      <w:tr>
        <w:tc>
          <w:tcPr>
            <w:tcW w:type="dxa" w:w="2160"/>
          </w:tcPr>
          <w:p>
            <w:r/>
            <w:r>
              <w:t>TVT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−0.16% ± 0.19%</w:t>
            </w:r>
            <w:r>
              <w:t xml:space="preserve"> → [−0.35%, +0.03%]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−0.16%</w:t>
            </w:r>
            <w:r>
              <w:t xml:space="preserve"> [−0.27%, −0.05%]</w:t>
            </w:r>
          </w:p>
        </w:tc>
        <w:tc>
          <w:tcPr>
            <w:tcW w:type="dxa" w:w="2160"/>
          </w:tcPr>
          <w:p>
            <w:r/>
            <w:r>
              <w:t xml:space="preserve">yes — </w:t>
            </w:r>
            <w:r>
              <w:rPr>
                <w:b/>
              </w:rPr>
              <w:t>point estimates identical</w:t>
            </w:r>
          </w:p>
        </w:tc>
      </w:tr>
    </w:tbl>
    <w:p/>
    <w:p>
      <w:r>
        <w:rPr>
          <w:b/>
        </w:rPr>
        <w:t>Reads as a clean validation:</w:t>
      </w:r>
    </w:p>
    <w:p>
      <w:pPr>
        <w:pStyle w:val="ListBullet"/>
      </w:pPr>
      <w:r>
        <w:rPr>
          <w:b/>
        </w:rPr>
        <w:t>TVT point estimate is identical (−0.16% both).</w:t>
      </w:r>
      <w:r>
        <w:t xml:space="preserve"> Strong confirmation the pipelines agree. The one difference is the interval: CURE's ±0.19 crosses zero (Statsig flags it non-significant), while our CUPED ±0.11 excludes zero (significant). Our covariate achieved more variance reduction on TVT here, so we resolve the small negative that CURE leaves ambiguous — directionally the same, we're just more precise.</w:t>
      </w:r>
    </w:p>
    <w:p>
      <w:pPr>
        <w:pStyle w:val="ListBullet"/>
      </w:pPr>
      <w:r>
        <w:rPr>
          <w:b/>
        </w:rPr>
        <w:t>Revenue agrees within ~0.12pp</w:t>
      </w:r>
      <w:r>
        <w:t xml:space="preserve"> (+0.72% vs +0.84%), both significant and each inside the other's CI. The small gap is most plausibly (a) a </w:t>
      </w:r>
      <w:r>
        <w:rPr>
          <w:b/>
        </w:rPr>
        <w:t>metric-definition difference</w:t>
      </w:r>
      <w:r>
        <w:t xml:space="preserve"> — our </w:t>
      </w:r>
      <w:r>
        <w:rPr>
          <w:rFonts w:ascii="Consolas" w:hAnsi="Consolas"/>
          <w:sz w:val="20"/>
        </w:rPr>
        <w:t>unbudgeted_revenue</w:t>
      </w:r>
      <w:r>
        <w:t xml:space="preserve"> uses a specific advertiser-exclusion list + </w:t>
      </w:r>
      <w:r>
        <w:rPr>
          <w:rFonts w:ascii="Consolas" w:hAnsi="Consolas"/>
          <w:sz w:val="20"/>
        </w:rPr>
        <w:t>revenue_stream IN (PROGRAMMATIC_OPEN, PROGRAMMATIC_DIRECT)</w:t>
      </w:r>
      <w:r>
        <w:t xml:space="preserve"> + </w:t>
      </w:r>
      <w:r>
        <w:rPr>
          <w:rFonts w:ascii="Consolas" w:hAnsi="Consolas"/>
          <w:sz w:val="20"/>
        </w:rPr>
        <w:t>budget IS NULL</w:t>
      </w:r>
      <w:r>
        <w:t xml:space="preserve">, which may not match Statsig's definition exactly — and/or (b) </w:t>
      </w:r>
      <w:r>
        <w:rPr>
          <w:b/>
        </w:rPr>
        <w:t>window</w:t>
      </w:r>
      <w:r>
        <w:t>: Statsig refreshed just now and may include the partial 06-04 day, whereas we capped at the last complete day (06-03).</w:t>
      </w:r>
    </w:p>
    <w:p>
      <w:r>
        <w:rPr>
          <w:b/>
        </w:rPr>
        <w:t>Methodology note (CUPED).</w:t>
      </w:r>
      <w:r>
        <w:t xml:space="preserve"> All lifts in this report are CUPED-adjusted: covariate = each device's pre-period (2026-05-15→05-28) value of the same metric across all titles; </w:t>
      </w:r>
      <w:r>
        <w:rPr>
          <w:rFonts w:ascii="Consolas" w:hAnsi="Consolas"/>
          <w:sz w:val="20"/>
        </w:rPr>
        <w:t>Y_adj = Y − θ(X − X̄)</w:t>
      </w:r>
      <w:r>
        <w:t xml:space="preserve"> with pooled θ; Welch t-test on adjusted values (notebook </w:t>
      </w:r>
      <w:r>
        <w:rPr>
          <w:rFonts w:ascii="Consolas" w:hAnsi="Consolas"/>
          <w:sz w:val="20"/>
        </w:rPr>
        <w:t>ads_abf_3_v6__cuped_stat_sig</w:t>
      </w:r>
      <w:r>
        <w:t>). CUPED does not move point estimates — it shrinks variance. Variance reduction was large on all-titles cuts (45–57%, where pre-period behavior strongly predicts full-footprint outcomes) and modest on ABF3-titles-only cuts (8–17%, where the all-titles covariate is a weaker predictor of experiment-title-only activity). Agreement with CURE on an independent stack confirms the estimates are method-robust.</w:t>
      </w:r>
    </w:p>
    <w:p>
      <w:pPr>
        <w:pStyle w:val="Heading1"/>
      </w:pPr>
      <w:r/>
      <w:r>
        <w:t>4. Conclusion</w:t>
      </w:r>
    </w:p>
    <w:p>
      <w:pPr>
        <w:pStyle w:val="ListBullet"/>
      </w:pPr>
      <w:r>
        <w:rPr>
          <w:b/>
        </w:rPr>
        <w:t>Graduating ABF3 on all ABF1 titles via a random sample is well-supported.</w:t>
      </w:r>
      <w:r>
        <w:t xml:space="preserve"> On-ABF1-title revenue lift projects to </w:t>
      </w:r>
      <w:r>
        <w:rPr>
          <w:b/>
        </w:rPr>
        <w:t>+6.0% (revenue-weighted) / +7.0% (TVT-weighted)</w:t>
      </w:r>
      <w:r>
        <w:t xml:space="preserve">, title-clustered CI </w:t>
      </w:r>
      <w:r>
        <w:rPr>
          <w:b/>
        </w:rPr>
        <w:t>[+6.1%, +8.5%]</w:t>
      </w:r>
      <w:r>
        <w:t xml:space="preserve">. Diluted by ABF1's 36.2% revenue share, the </w:t>
      </w:r>
      <w:r>
        <w:rPr>
          <w:b/>
        </w:rPr>
        <w:t>global revenue lift is ~+2.2%</w:t>
      </w:r>
      <w:r>
        <w:t xml:space="preserve"> (range +1.9–2.5%, §2d–e).</w:t>
      </w:r>
    </w:p>
    <w:p>
      <w:pPr>
        <w:pStyle w:val="ListBullet"/>
      </w:pPr>
      <w:r>
        <w:rPr>
          <w:b/>
        </w:rPr>
        <w:t>Global TVT cost of graduating is small but real: −0.05% to −0.40%</w:t>
      </w:r>
      <w:r>
        <w:t xml:space="preserve"> (§2f), likely toward −0.4% given measured cross-title spillover. This is the main item to weigh against the +2.2% revenue gain. On-experiment-title TVT (−0.33%) is itself small and flat across deciles/content types.</w:t>
      </w:r>
    </w:p>
    <w:p>
      <w:pPr>
        <w:pStyle w:val="ListBullet"/>
      </w:pPr>
      <w:r>
        <w:rPr>
          <w:b/>
        </w:rPr>
        <w:t>The graduation trade is ~+2.2% global revenue for ~−0.4% global TVT.</w:t>
      </w:r>
      <w:r>
        <w:t xml:space="preserve"> Whether that is acceptable needs a stakeholder-agreed threshold; the formal gate is </w:t>
      </w:r>
      <w:r>
        <w:rPr>
          <w:rFonts w:ascii="Consolas" w:hAnsi="Consolas"/>
          <w:sz w:val="20"/>
        </w:rPr>
        <w:t>me_score</w:t>
      </w:r>
      <w:r>
        <w:t>.</w:t>
      </w:r>
    </w:p>
    <w:p>
      <w:pPr>
        <w:pStyle w:val="ListBullet"/>
      </w:pPr>
      <w:r>
        <w:rPr>
          <w:b/>
        </w:rPr>
        <w:t>Open gate:</w:t>
      </w:r>
      <w:r>
        <w:t xml:space="preserve"> </w:t>
      </w:r>
      <w:r>
        <w:rPr>
          <w:rFonts w:ascii="Consolas" w:hAnsi="Consolas"/>
          <w:sz w:val="20"/>
        </w:rPr>
        <w:t>me_score = 0.5·short_term_revenue + 0.5·predicted_long_term_revenue</w:t>
      </w:r>
      <w:r>
        <w:t xml:space="preserve"> (via </w:t>
      </w:r>
      <w:r>
        <w:rPr>
          <w:rFonts w:ascii="Consolas" w:hAnsi="Consolas"/>
          <w:sz w:val="20"/>
        </w:rPr>
        <w:t>e_score</w:t>
      </w:r>
      <w:r>
        <w:t>), computed offline, remains the formal graduation decision and is not evaluated here.</w:t>
      </w:r>
    </w:p>
    <w:p>
      <w:pPr>
        <w:pStyle w:val="Heading1"/>
      </w:pPr>
      <w:r/>
      <w:r>
        <w:t>5. Caveats</w:t>
      </w:r>
    </w:p>
    <w:p>
      <w:pPr>
        <w:pStyle w:val="ListBullet"/>
      </w:pPr>
      <w:r>
        <w:rPr>
          <w:b/>
        </w:rPr>
        <w:t>Residual quantity confound:</w:t>
      </w:r>
      <w:r>
        <w:t xml:space="preserve"> ABF3 (pruned to ABF2 density) serves +6.98% more breaks than the ABF1 baseline, so the revenue lift includes a quantity component, not pure positioning quality. The small significant TVT declines (−0.33% on-title, −0.16% to −0.20% all-titles) are consistent with that extra ad load modestly costing engagement.</w:t>
      </w:r>
    </w:p>
    <w:p>
      <w:pPr>
        <w:pStyle w:val="ListBullet"/>
      </w:pPr>
      <w:r>
        <w:rPr>
          <w:b/>
        </w:rPr>
        <w:t>Global TVT estimate spans an 8× range (−0.05% to −0.40%):</w:t>
      </w:r>
      <w:r>
        <w:t xml:space="preserve"> the spillover-inclusive coverage-scaling (−0.40%) assumes substitution intensity holds as coverage grows from 1,084 to ~492K titles. −0.4% is the best current estimate, not a guarantee (§2f).</w:t>
      </w:r>
    </w:p>
    <w:p>
      <w:pPr>
        <w:pStyle w:val="ListBullet"/>
      </w:pPr>
      <w:r>
        <w:rPr>
          <w:b/>
        </w:rPr>
        <w:t>Sample skews dense/long even TVT-weighted (~15–20%):</w:t>
      </w:r>
      <w:r>
        <w:t xml:space="preserve"> mitigated by poststratification, but the projection assumes the per-decile lift is stable within a decile across sample and population.</w:t>
      </w:r>
    </w:p>
    <w:p>
      <w:pPr>
        <w:pStyle w:val="ListBullet"/>
      </w:pPr>
      <w:r>
        <w:rPr>
          <w:b/>
        </w:rPr>
        <w:t>OTT only:</w:t>
      </w:r>
      <w:r>
        <w:t xml:space="preserve"> mobile (</w:t>
      </w:r>
      <w:r>
        <w:rPr>
          <w:rFonts w:ascii="Consolas" w:hAnsi="Consolas"/>
          <w:sz w:val="20"/>
        </w:rPr>
        <w:t>ads_mobile_abf_3_v6</w:t>
      </w:r>
      <w:r>
        <w:t>) and web (</w:t>
      </w:r>
      <w:r>
        <w:rPr>
          <w:rFonts w:ascii="Consolas" w:hAnsi="Consolas"/>
          <w:sz w:val="20"/>
        </w:rPr>
        <w:t>ads_web_abf_3_v6</w:t>
      </w:r>
      <w:r>
        <w:t xml:space="preserve">) variants not analyzed here — </w:t>
      </w:r>
      <w:r>
        <w:rPr>
          <w:b/>
        </w:rPr>
        <w:t>deferred follow-up</w:t>
      </w:r>
      <w:r>
        <w:t xml:space="preserve"> (same analysis suite to be run later).</w:t>
      </w:r>
    </w:p>
    <w:p>
      <w:pPr>
        <w:pStyle w:val="ListBullet"/>
      </w:pPr>
      <w:r>
        <w:rPr>
          <w:b/>
        </w:rPr>
        <w:t>Single time window:</w:t>
      </w:r>
      <w:r>
        <w:t xml:space="preserve"> complete days 2026-05-29 → 06-03 (06-04 partial day excluded); early-window estimates can move with runtime, though day-5→day-6 numbers were very stable.</w:t>
      </w:r>
    </w:p>
    <w:p>
      <w:pPr>
        <w:pStyle w:val="ListBullet"/>
      </w:pPr>
      <w:r>
        <w:rPr>
          <w:b/>
        </w:rPr>
        <w:t>Per-title lift basis</w:t>
      </w:r>
      <w:r>
        <w:t xml:space="preserve"> uses titles with control mean revenue &gt; 0 (1,083 / 1,084).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