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(Mobile)</w:t>
      </w:r>
    </w:p>
    <w:p>
      <w:pPr/>
      <w:r>
        <w:rPr>
          <w:b/>
        </w:rPr>
        <w:t>Experiment:</w:t>
      </w:r>
      <w:r>
        <w:t xml:space="preserve"> `ads_mobile_abf_3_v10_abf2_titles_only` (Mobile) · device-randomized, four arms at 25% each · restarted 2026-10-09 23:30 UTC (same restart as OTT).</w:t>
      </w:r>
    </w:p>
    <w:p>
      <w:pPr/>
      <w:r>
        <w:rPr>
          <w:b/>
        </w:rPr>
        <w:t>Arms:</w:t>
      </w:r>
      <w:r>
        <w:t xml:space="preserve"> Control = ABF2 human cue points. v4 = T1 equal-load pruner (`abf3_pruner_t1_equal_load_v4.py`). v6 = T2, equal load plus about +7% ad load on movies of 60–120 minutes (`abf3_pruner_t2_targeted_load_v6.py`). v5b = T3, ABF2-like cue counts placed where the OTT ad config accepts requests (`abf3_pruner_t3_abf2_density_v5b.py`). The served cue lists are catalog-level, so every platform serves the same lists as OTT.</w:t>
      </w:r>
    </w:p>
    <w:p>
      <w:pPr/>
      <w:r>
        <w:rPr>
          <w:b/>
        </w:rPr>
        <w:t>Window:</w:t>
      </w:r>
      <w:r>
        <w:t xml:space="preserve"> 2026-10-09 → 2026-10-18 (complete days). Outcomes are capped at 2026-10-19 00:00 UTC, the latest day loaded in the exposures table; same window as the refreshed OTT report. This is an early read of a live test, not a graduation read, and it has not been re-reconciled with a Statsig scorecard.</w:t>
      </w:r>
    </w:p>
    <w:p>
      <w:pPr/>
      <w:r>
        <w:rPr>
          <w:b/>
        </w:rPr>
        <w:t>Method:</w:t>
      </w:r>
      <w:r>
        <w:t xml:space="preserve"> device-level CUPED, pre-period 2026-09-25 → 2026-10-08, Welch 95% intervals. ~3.07M devices/arm (ITT). Revenue is reported three ways — total (all billable ads), budgeted (direct, guaranteed, PMP), and unbudgeted (open auction, the v8 metric) — plus ad impressions and TVT. Same queries and definitions as the OTT report (Appendix C), run on the mobile experiment's exposures. Report date 2026-10-19.</w:t>
      </w:r>
    </w:p>
    <w:p>
      <w:pPr/>
      <w:r>
        <w:rPr>
          <w:b/>
        </w:rPr>
        <w:t>Refresh (2026-10-19):</w:t>
      </w:r>
      <w:r>
        <w:t xml:space="preserve"> Window extended from 2026-10-15 14:00 UTC to the end of 2026-10-18 (every complete day loaded in the exposures table); ITT devices/arm grew from 2.01M to 3.07M. Global ITT total revenue, 10-15 → now: v4 −1.685% → −1.642%; v5b +0.610% → +0.710%; v6 −1.208% → −1.264%. TVT: v4 +0.046% → +0.029%; v5b −0.359% → −0.397%; v6 −0.085% → −0.219%. Significance calls that changed: v5b TVT ns → sig (−0.359% → −0.397%). All tables, the band/type/below-control cuts, the gate replay and the viewing-depth numbers below were re-run on the new window.</w:t>
      </w:r>
    </w:p>
    <w:p>
      <w:pPr>
        <w:pStyle w:val="Heading1"/>
      </w:pPr>
      <w:r>
        <w:t>TL;DR</w:t>
      </w:r>
    </w:p>
    <w:p>
      <w:pPr>
        <w:pStyle w:val="ListBullet"/>
      </w:pPr>
      <w:r>
        <w:rPr>
          <w:b/>
        </w:rPr>
        <w:t>Only v5b wins on mobile.</w:t>
      </w:r>
      <w:r>
        <w:t xml:space="preserve"> v5b lifts total revenue +0.710% sig and impressions +0.796% sig; on the treated ABF2 titles its open-auction revenue is +1.893% sig. Its TVT is −0.397% sig globally (Active −0.38% sig, ToT −0.45% sig) — a small but now nominally significant engagement cost, the item to weigh.</w:t>
      </w:r>
    </w:p>
    <w:p>
      <w:pPr>
        <w:pStyle w:val="ListBullet"/>
      </w:pPr>
      <w:r>
        <w:rPr>
          <w:b/>
        </w:rPr>
        <w:t>v4 and v6 lose significantly — unlike OTT.</w:t>
      </w:r>
      <w:r>
        <w:t xml:space="preserve"> Total revenue v4 −1.642% sig, v6 −1.264% sig; every revenue and impression pool is down for both, and TVT is flat (v4 +0.03% ns, v6 −0.22% ns). On OTT v6 is a safe positive (+0.484% sig); on mobile it is not.</w:t>
      </w:r>
    </w:p>
    <w:p>
      <w:pPr>
        <w:pStyle w:val="ListBullet"/>
      </w:pPr>
      <w:r>
        <w:rPr>
          <w:b/>
        </w:rPr>
        <w:t>Episodes drive the split.</w:t>
      </w:r>
      <w:r>
        <w:t xml:space="preserve"> Episode open-auction revenue: v4 −4.84% sig, v6 −5.73% sig, v5b +2.17% sig. Movies gain on v6 (+2.79% sig) and v5b (+1.69% sig); v4 is +0.32% ns. The episode loss for v4/v6 is concentrated in the sparse 1–3 and 4–6 bands, where v4 serves fewer cue points than ABF2 on 49.3% / 57.3% of episode titles and places the first cue ~3.5 min later than ABF2.</w:t>
      </w:r>
    </w:p>
    <w:p>
      <w:pPr>
        <w:pStyle w:val="ListBullet"/>
      </w:pPr>
      <w:r>
        <w:rPr>
          <w:b/>
        </w:rPr>
        <w:t>The below-control defect replicates.</w:t>
      </w:r>
      <w:r>
        <w:t xml:space="preserve"> Dense titles served below their ABF2 count lose revenue on v4 and v6 (v4 10–12 −7.23% sig, v6 10–12 −6.51% sig), and titles kept at or above control gain (v6 10–12 +6.60% sig). The per-title floor applies to mobile too.</w:t>
      </w:r>
    </w:p>
    <w:p>
      <w:pPr>
        <w:pStyle w:val="ListBullet"/>
      </w:pPr>
      <w:r>
        <w:rPr>
          <w:b/>
        </w:rPr>
        <w:t>TVT: only v5b moves, and only slightly.</w:t>
      </w:r>
      <w:r>
        <w:t xml:space="preserve"> Global TVT is −0.397% sig for v5b and flat for v4/v6. Locally, v5b and v6 lose TVT on 13+ titles (−0.77% sig, −0.97% sig); on-title TVT is not significant for any arm, nor is either viewer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t>v4 (equal load)</w:t>
            </w:r>
          </w:p>
        </w:tc>
        <w:tc>
          <w:tcPr>
            <w:tcW w:type="dxa" w:w="1440"/>
          </w:tcPr>
          <w:p>
            <w:r>
              <w:t>−1.642% [−2.023, −1.260] sig</w:t>
            </w:r>
          </w:p>
        </w:tc>
        <w:tc>
          <w:tcPr>
            <w:tcW w:type="dxa" w:w="1440"/>
          </w:tcPr>
          <w:p>
            <w:r>
              <w:t>−1.902% sig</w:t>
            </w:r>
          </w:p>
        </w:tc>
        <w:tc>
          <w:tcPr>
            <w:tcW w:type="dxa" w:w="1440"/>
          </w:tcPr>
          <w:p>
            <w:r>
              <w:t>−1.296% sig</w:t>
            </w:r>
          </w:p>
        </w:tc>
        <w:tc>
          <w:tcPr>
            <w:tcW w:type="dxa" w:w="1440"/>
          </w:tcPr>
          <w:p>
            <w:r>
              <w:t>−1.710% sig</w:t>
            </w:r>
          </w:p>
        </w:tc>
        <w:tc>
          <w:tcPr>
            <w:tcW w:type="dxa" w:w="1440"/>
          </w:tcPr>
          <w:p>
            <w:r>
              <w:t>+0.029% ns</w:t>
            </w:r>
          </w:p>
        </w:tc>
      </w:tr>
      <w:tr>
        <w:tc>
          <w:tcPr>
            <w:tcW w:type="dxa" w:w="1440"/>
          </w:tcPr>
          <w:p>
            <w:r>
              <w:t>v5b (ABF2 density, gate-aware placement)</w:t>
            </w:r>
          </w:p>
        </w:tc>
        <w:tc>
          <w:tcPr>
            <w:tcW w:type="dxa" w:w="1440"/>
          </w:tcPr>
          <w:p>
            <w:r>
              <w:t>+0.710% [+0.325, +1.096] sig</w:t>
            </w:r>
          </w:p>
        </w:tc>
        <w:tc>
          <w:tcPr>
            <w:tcW w:type="dxa" w:w="1440"/>
          </w:tcPr>
          <w:p>
            <w:r>
              <w:t>+0.893% sig</w:t>
            </w:r>
          </w:p>
        </w:tc>
        <w:tc>
          <w:tcPr>
            <w:tcW w:type="dxa" w:w="1440"/>
          </w:tcPr>
          <w:p>
            <w:r>
              <w:t>+0.470% ns</w:t>
            </w:r>
          </w:p>
        </w:tc>
        <w:tc>
          <w:tcPr>
            <w:tcW w:type="dxa" w:w="1440"/>
          </w:tcPr>
          <w:p>
            <w:r>
              <w:t>+0.796% sig</w:t>
            </w:r>
          </w:p>
        </w:tc>
        <w:tc>
          <w:tcPr>
            <w:tcW w:type="dxa" w:w="1440"/>
          </w:tcPr>
          <w:p>
            <w:r>
              <w:t>−0.397% sig</w:t>
            </w:r>
          </w:p>
        </w:tc>
      </w:tr>
      <w:tr>
        <w:tc>
          <w:tcPr>
            <w:tcW w:type="dxa" w:w="1440"/>
          </w:tcPr>
          <w:p>
            <w:r>
              <w:t>v6 (movies 60–120 min, +7% load)</w:t>
            </w:r>
          </w:p>
        </w:tc>
        <w:tc>
          <w:tcPr>
            <w:tcW w:type="dxa" w:w="1440"/>
          </w:tcPr>
          <w:p>
            <w:r>
              <w:t>−1.264% [−1.645, −0.883] sig</w:t>
            </w:r>
          </w:p>
        </w:tc>
        <w:tc>
          <w:tcPr>
            <w:tcW w:type="dxa" w:w="1440"/>
          </w:tcPr>
          <w:p>
            <w:r>
              <w:t>−1.417% sig</w:t>
            </w:r>
          </w:p>
        </w:tc>
        <w:tc>
          <w:tcPr>
            <w:tcW w:type="dxa" w:w="1440"/>
          </w:tcPr>
          <w:p>
            <w:r>
              <w:t>−1.002% sig</w:t>
            </w:r>
          </w:p>
        </w:tc>
        <w:tc>
          <w:tcPr>
            <w:tcW w:type="dxa" w:w="1440"/>
          </w:tcPr>
          <w:p>
            <w:r>
              <w:t>−1.333% sig</w:t>
            </w:r>
          </w:p>
        </w:tc>
        <w:tc>
          <w:tcPr>
            <w:tcW w:type="dxa" w:w="1440"/>
          </w:tcPr>
          <w:p>
            <w:r>
              <w:t>−0.219% ns</w:t>
            </w:r>
          </w:p>
        </w:tc>
      </w:tr>
    </w:tbl>
    <w:p/>
    <w:p>
      <w:pPr/>
      <w:r>
        <w:t>All figures are global ITT CUPED lifts versus Control. Direction is stable across ITT, Active, and ToT. Significance calls are nominal 95% (not adjusted for sequential looks or three arms); the Statsig scorecard widened intervals ~1.8× on the 10-15 OTT read, which would make v5b's mobile TVT dip not significant and leave its total-revenue gain borderline (approximation, not re-checked against Statsig for this window).</w:t>
      </w:r>
    </w:p>
    <w:p>
      <w:pPr>
        <w:pStyle w:val="Heading1"/>
      </w:pPr>
      <w:r>
        <w:t>1. Headline (2026-10-09 → 2026-10-18)</w:t>
      </w:r>
    </w:p>
    <w:p>
      <w:pPr/>
      <w:r>
        <w:t>All figures are CUPED lifts versus Control, 95% intervals. Global is across every title an exposed device watched. On-title is the same devices, restricted to the ABF2 title list. “Sig” means the interval excludes zero (nominal p &lt; 0.05).</w:t>
      </w:r>
    </w:p>
    <w:p>
      <w:pPr/>
      <w:r>
        <w:t>Revenue, three ways (global ITT — the headline money table).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−1.642% [−2.023, −1.260] sig</w:t>
            </w:r>
          </w:p>
        </w:tc>
        <w:tc>
          <w:tcPr>
            <w:tcW w:type="dxa" w:w="1728"/>
          </w:tcPr>
          <w:p>
            <w:r>
              <w:t>−1.902% [−2.286, −1.518] sig</w:t>
            </w:r>
          </w:p>
        </w:tc>
        <w:tc>
          <w:tcPr>
            <w:tcW w:type="dxa" w:w="1728"/>
          </w:tcPr>
          <w:p>
            <w:r>
              <w:t>−1.296% [−1.766, −0.827] sig</w:t>
            </w:r>
          </w:p>
        </w:tc>
        <w:tc>
          <w:tcPr>
            <w:tcW w:type="dxa" w:w="1728"/>
          </w:tcPr>
          <w:p>
            <w:r>
              <w:t>−1.710% [−2.076, −1.343] sig</w:t>
            </w:r>
          </w:p>
        </w:tc>
      </w:tr>
      <w:tr>
        <w:tc>
          <w:tcPr>
            <w:tcW w:type="dxa" w:w="1728"/>
          </w:tcPr>
          <w:p>
            <w:r>
              <w:t>v5b</w:t>
            </w:r>
          </w:p>
        </w:tc>
        <w:tc>
          <w:tcPr>
            <w:tcW w:type="dxa" w:w="1728"/>
          </w:tcPr>
          <w:p>
            <w:r>
              <w:t>+0.710% [+0.325, +1.096] sig</w:t>
            </w:r>
          </w:p>
        </w:tc>
        <w:tc>
          <w:tcPr>
            <w:tcW w:type="dxa" w:w="1728"/>
          </w:tcPr>
          <w:p>
            <w:r>
              <w:t>+0.893% [+0.504, +1.283] sig</w:t>
            </w:r>
          </w:p>
        </w:tc>
        <w:tc>
          <w:tcPr>
            <w:tcW w:type="dxa" w:w="1728"/>
          </w:tcPr>
          <w:p>
            <w:r>
              <w:t>+0.470% [−0.004, +0.944] ns</w:t>
            </w:r>
          </w:p>
        </w:tc>
        <w:tc>
          <w:tcPr>
            <w:tcW w:type="dxa" w:w="1728"/>
          </w:tcPr>
          <w:p>
            <w:r>
              <w:t>+0.796% [+0.425, +1.167] sig</w:t>
            </w:r>
          </w:p>
        </w:tc>
      </w:tr>
      <w:tr>
        <w:tc>
          <w:tcPr>
            <w:tcW w:type="dxa" w:w="1728"/>
          </w:tcPr>
          <w:p>
            <w:r>
              <w:t>v6</w:t>
            </w:r>
          </w:p>
        </w:tc>
        <w:tc>
          <w:tcPr>
            <w:tcW w:type="dxa" w:w="1728"/>
          </w:tcPr>
          <w:p>
            <w:r>
              <w:t>−1.264% [−1.645, −0.883] sig</w:t>
            </w:r>
          </w:p>
        </w:tc>
        <w:tc>
          <w:tcPr>
            <w:tcW w:type="dxa" w:w="1728"/>
          </w:tcPr>
          <w:p>
            <w:r>
              <w:t>−1.417% [−1.801, −1.033] sig</w:t>
            </w:r>
          </w:p>
        </w:tc>
        <w:tc>
          <w:tcPr>
            <w:tcW w:type="dxa" w:w="1728"/>
          </w:tcPr>
          <w:p>
            <w:r>
              <w:t>−1.002% [−1.472, −0.532] sig</w:t>
            </w:r>
          </w:p>
        </w:tc>
        <w:tc>
          <w:tcPr>
            <w:tcW w:type="dxa" w:w="1728"/>
          </w:tcPr>
          <w:p>
            <w:r>
              <w:t>−1.333% [−1.699, −0.967] sig</w:t>
            </w:r>
          </w:p>
        </w:tc>
      </w:tr>
    </w:tbl>
    <w:p/>
    <w:p>
      <w:pPr/>
      <w:r>
        <w:t>Control per-device means: total revenue 0.155, budgeted 0.068, all-ad impressions 17.8; ITT n/arm ≈ 3.07M. Unlike OTT, the mobile money table is a clean split: v5b is up in every pool (budgeted +0.893% sig; unbudgeted +0.470% ns, positive but its interval just includes zero), while v4 and v6 lose in every pool (budgeted −1.902% sig / −1.417% sig; unbudgeted −1.296% sig / −1.002% sig). Revenue tracks impressions closely in every arm, so this is an ad-delivery effect, not a price effect.</w:t>
      </w:r>
    </w:p>
    <w:p>
      <w:pPr/>
      <w: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3,069,679</w:t>
            </w:r>
          </w:p>
        </w:tc>
        <w:tc>
          <w:tcPr>
            <w:tcW w:type="dxa" w:w="1440"/>
          </w:tcPr>
          <w:p>
            <w:r>
              <w:t>−1.296% [−1.766, −0.827] sig</w:t>
            </w:r>
          </w:p>
        </w:tc>
        <w:tc>
          <w:tcPr>
            <w:tcW w:type="dxa" w:w="1440"/>
          </w:tcPr>
          <w:p>
            <w:r>
              <w:t>−1.338% [−1.780, −0.895] sig</w:t>
            </w:r>
          </w:p>
        </w:tc>
        <w:tc>
          <w:tcPr>
            <w:tcW w:type="dxa" w:w="1440"/>
          </w:tcPr>
          <w:p>
            <w:r>
              <w:t>+0.029% [−0.334, +0.392] ns</w:t>
            </w:r>
          </w:p>
        </w:tc>
      </w:tr>
      <w:tr>
        <w:tc>
          <w:tcPr>
            <w:tcW w:type="dxa" w:w="1440"/>
          </w:tcPr>
          <w:p>
            <w:r>
              <w:t>ITT</w:t>
            </w:r>
          </w:p>
        </w:tc>
        <w:tc>
          <w:tcPr>
            <w:tcW w:type="dxa" w:w="1440"/>
          </w:tcPr>
          <w:p>
            <w:r>
              <w:t>v5b</w:t>
            </w:r>
          </w:p>
        </w:tc>
        <w:tc>
          <w:tcPr>
            <w:tcW w:type="dxa" w:w="1440"/>
          </w:tcPr>
          <w:p>
            <w:r>
              <w:t>3,070,301</w:t>
            </w:r>
          </w:p>
        </w:tc>
        <w:tc>
          <w:tcPr>
            <w:tcW w:type="dxa" w:w="1440"/>
          </w:tcPr>
          <w:p>
            <w:r>
              <w:t>+0.470% [−0.004, +0.944] ns</w:t>
            </w:r>
          </w:p>
        </w:tc>
        <w:tc>
          <w:tcPr>
            <w:tcW w:type="dxa" w:w="1440"/>
          </w:tcPr>
          <w:p>
            <w:r>
              <w:t>+0.690% [+0.244, +1.136] sig</w:t>
            </w:r>
          </w:p>
        </w:tc>
        <w:tc>
          <w:tcPr>
            <w:tcW w:type="dxa" w:w="1440"/>
          </w:tcPr>
          <w:p>
            <w:r>
              <w:t>−0.397% [−0.758, −0.035] sig</w:t>
            </w:r>
          </w:p>
        </w:tc>
      </w:tr>
      <w:tr>
        <w:tc>
          <w:tcPr>
            <w:tcW w:type="dxa" w:w="1440"/>
          </w:tcPr>
          <w:p>
            <w:r>
              <w:t>ITT</w:t>
            </w:r>
          </w:p>
        </w:tc>
        <w:tc>
          <w:tcPr>
            <w:tcW w:type="dxa" w:w="1440"/>
          </w:tcPr>
          <w:p>
            <w:r>
              <w:t>v6</w:t>
            </w:r>
          </w:p>
        </w:tc>
        <w:tc>
          <w:tcPr>
            <w:tcW w:type="dxa" w:w="1440"/>
          </w:tcPr>
          <w:p>
            <w:r>
              <w:t>3,074,644</w:t>
            </w:r>
          </w:p>
        </w:tc>
        <w:tc>
          <w:tcPr>
            <w:tcW w:type="dxa" w:w="1440"/>
          </w:tcPr>
          <w:p>
            <w:r>
              <w:t>−1.002% [−1.472, −0.532] sig</w:t>
            </w:r>
          </w:p>
        </w:tc>
        <w:tc>
          <w:tcPr>
            <w:tcW w:type="dxa" w:w="1440"/>
          </w:tcPr>
          <w:p>
            <w:r>
              <w:t>−1.149% [−1.589, −0.707] sig</w:t>
            </w:r>
          </w:p>
        </w:tc>
        <w:tc>
          <w:tcPr>
            <w:tcW w:type="dxa" w:w="1440"/>
          </w:tcPr>
          <w:p>
            <w:r>
              <w:t>−0.219% [−0.581, +0.142] ns</w:t>
            </w:r>
          </w:p>
        </w:tc>
      </w:tr>
      <w:tr>
        <w:tc>
          <w:tcPr>
            <w:tcW w:type="dxa" w:w="1440"/>
          </w:tcPr>
          <w:p>
            <w:r>
              <w:t>Active</w:t>
            </w:r>
          </w:p>
        </w:tc>
        <w:tc>
          <w:tcPr>
            <w:tcW w:type="dxa" w:w="1440"/>
          </w:tcPr>
          <w:p>
            <w:r>
              <w:t>v4</w:t>
            </w:r>
          </w:p>
        </w:tc>
        <w:tc>
          <w:tcPr>
            <w:tcW w:type="dxa" w:w="1440"/>
          </w:tcPr>
          <w:p>
            <w:r>
              <w:t>1,741,390</w:t>
            </w:r>
          </w:p>
        </w:tc>
        <w:tc>
          <w:tcPr>
            <w:tcW w:type="dxa" w:w="1440"/>
          </w:tcPr>
          <w:p>
            <w:r>
              <w:t>−1.282% [−1.744, −0.821] sig</w:t>
            </w:r>
          </w:p>
        </w:tc>
        <w:tc>
          <w:tcPr>
            <w:tcW w:type="dxa" w:w="1440"/>
          </w:tcPr>
          <w:p>
            <w:r>
              <w:t>−1.321% [−1.755, −0.886] sig</w:t>
            </w:r>
          </w:p>
        </w:tc>
        <w:tc>
          <w:tcPr>
            <w:tcW w:type="dxa" w:w="1440"/>
          </w:tcPr>
          <w:p>
            <w:r>
              <w:t>+0.060% [−0.294, +0.414] ns</w:t>
            </w:r>
          </w:p>
        </w:tc>
      </w:tr>
      <w:tr>
        <w:tc>
          <w:tcPr>
            <w:tcW w:type="dxa" w:w="1440"/>
          </w:tcPr>
          <w:p>
            <w:r>
              <w:t>Active</w:t>
            </w:r>
          </w:p>
        </w:tc>
        <w:tc>
          <w:tcPr>
            <w:tcW w:type="dxa" w:w="1440"/>
          </w:tcPr>
          <w:p>
            <w:r>
              <w:t>v5b</w:t>
            </w:r>
          </w:p>
        </w:tc>
        <w:tc>
          <w:tcPr>
            <w:tcW w:type="dxa" w:w="1440"/>
          </w:tcPr>
          <w:p>
            <w:r>
              <w:t>1,740,941</w:t>
            </w:r>
          </w:p>
        </w:tc>
        <w:tc>
          <w:tcPr>
            <w:tcW w:type="dxa" w:w="1440"/>
          </w:tcPr>
          <w:p>
            <w:r>
              <w:t>+0.468% [+0.002, +0.933] sig</w:t>
            </w:r>
          </w:p>
        </w:tc>
        <w:tc>
          <w:tcPr>
            <w:tcW w:type="dxa" w:w="1440"/>
          </w:tcPr>
          <w:p>
            <w:r>
              <w:t>+0.685% [+0.247, +1.123] sig</w:t>
            </w:r>
          </w:p>
        </w:tc>
        <w:tc>
          <w:tcPr>
            <w:tcW w:type="dxa" w:w="1440"/>
          </w:tcPr>
          <w:p>
            <w:r>
              <w:t>−0.380% [−0.733, −0.026] sig</w:t>
            </w:r>
          </w:p>
        </w:tc>
      </w:tr>
      <w:tr>
        <w:tc>
          <w:tcPr>
            <w:tcW w:type="dxa" w:w="1440"/>
          </w:tcPr>
          <w:p>
            <w:r>
              <w:t>Active</w:t>
            </w:r>
          </w:p>
        </w:tc>
        <w:tc>
          <w:tcPr>
            <w:tcW w:type="dxa" w:w="1440"/>
          </w:tcPr>
          <w:p>
            <w:r>
              <w:t>v6</w:t>
            </w:r>
          </w:p>
        </w:tc>
        <w:tc>
          <w:tcPr>
            <w:tcW w:type="dxa" w:w="1440"/>
          </w:tcPr>
          <w:p>
            <w:r>
              <w:t>1,744,936</w:t>
            </w:r>
          </w:p>
        </w:tc>
        <w:tc>
          <w:tcPr>
            <w:tcW w:type="dxa" w:w="1440"/>
          </w:tcPr>
          <w:p>
            <w:r>
              <w:t>−1.012% [−1.473, −0.550] sig</w:t>
            </w:r>
          </w:p>
        </w:tc>
        <w:tc>
          <w:tcPr>
            <w:tcW w:type="dxa" w:w="1440"/>
          </w:tcPr>
          <w:p>
            <w:r>
              <w:t>−1.158% [−1.591, −0.725] sig</w:t>
            </w:r>
          </w:p>
        </w:tc>
        <w:tc>
          <w:tcPr>
            <w:tcW w:type="dxa" w:w="1440"/>
          </w:tcPr>
          <w:p>
            <w:r>
              <w:t>−0.216% [−0.569, +0.137] ns</w:t>
            </w:r>
          </w:p>
        </w:tc>
      </w:tr>
      <w:tr>
        <w:tc>
          <w:tcPr>
            <w:tcW w:type="dxa" w:w="1440"/>
          </w:tcPr>
          <w:p>
            <w:r>
              <w:t>ToT</w:t>
            </w:r>
          </w:p>
        </w:tc>
        <w:tc>
          <w:tcPr>
            <w:tcW w:type="dxa" w:w="1440"/>
          </w:tcPr>
          <w:p>
            <w:r>
              <w:t>v4</w:t>
            </w:r>
          </w:p>
        </w:tc>
        <w:tc>
          <w:tcPr>
            <w:tcW w:type="dxa" w:w="1440"/>
          </w:tcPr>
          <w:p>
            <w:r>
              <w:t>1,295,858</w:t>
            </w:r>
          </w:p>
        </w:tc>
        <w:tc>
          <w:tcPr>
            <w:tcW w:type="dxa" w:w="1440"/>
          </w:tcPr>
          <w:p>
            <w:r>
              <w:t>−1.422% [−1.904, −0.941] sig</w:t>
            </w:r>
          </w:p>
        </w:tc>
        <w:tc>
          <w:tcPr>
            <w:tcW w:type="dxa" w:w="1440"/>
          </w:tcPr>
          <w:p>
            <w:r>
              <w:t>−1.456% [−1.908, −1.004] sig</w:t>
            </w:r>
          </w:p>
        </w:tc>
        <w:tc>
          <w:tcPr>
            <w:tcW w:type="dxa" w:w="1440"/>
          </w:tcPr>
          <w:p>
            <w:r>
              <w:t>+0.016% [−0.350, +0.382] ns</w:t>
            </w:r>
          </w:p>
        </w:tc>
      </w:tr>
      <w:tr>
        <w:tc>
          <w:tcPr>
            <w:tcW w:type="dxa" w:w="1440"/>
          </w:tcPr>
          <w:p>
            <w:r>
              <w:t>ToT</w:t>
            </w:r>
          </w:p>
        </w:tc>
        <w:tc>
          <w:tcPr>
            <w:tcW w:type="dxa" w:w="1440"/>
          </w:tcPr>
          <w:p>
            <w:r>
              <w:t>v5b</w:t>
            </w:r>
          </w:p>
        </w:tc>
        <w:tc>
          <w:tcPr>
            <w:tcW w:type="dxa" w:w="1440"/>
          </w:tcPr>
          <w:p>
            <w:r>
              <w:t>1,295,796</w:t>
            </w:r>
          </w:p>
        </w:tc>
        <w:tc>
          <w:tcPr>
            <w:tcW w:type="dxa" w:w="1440"/>
          </w:tcPr>
          <w:p>
            <w:r>
              <w:t>+0.475% [−0.011, +0.962] ns</w:t>
            </w:r>
          </w:p>
        </w:tc>
        <w:tc>
          <w:tcPr>
            <w:tcW w:type="dxa" w:w="1440"/>
          </w:tcPr>
          <w:p>
            <w:r>
              <w:t>+0.655% [+0.199, +1.111] sig</w:t>
            </w:r>
          </w:p>
        </w:tc>
        <w:tc>
          <w:tcPr>
            <w:tcW w:type="dxa" w:w="1440"/>
          </w:tcPr>
          <w:p>
            <w:r>
              <w:t>−0.449% [−0.815, −0.084] sig</w:t>
            </w:r>
          </w:p>
        </w:tc>
      </w:tr>
      <w:tr>
        <w:tc>
          <w:tcPr>
            <w:tcW w:type="dxa" w:w="1440"/>
          </w:tcPr>
          <w:p>
            <w:r>
              <w:t>ToT</w:t>
            </w:r>
          </w:p>
        </w:tc>
        <w:tc>
          <w:tcPr>
            <w:tcW w:type="dxa" w:w="1440"/>
          </w:tcPr>
          <w:p>
            <w:r>
              <w:t>v6</w:t>
            </w:r>
          </w:p>
        </w:tc>
        <w:tc>
          <w:tcPr>
            <w:tcW w:type="dxa" w:w="1440"/>
          </w:tcPr>
          <w:p>
            <w:r>
              <w:t>1,298,130</w:t>
            </w:r>
          </w:p>
        </w:tc>
        <w:tc>
          <w:tcPr>
            <w:tcW w:type="dxa" w:w="1440"/>
          </w:tcPr>
          <w:p>
            <w:r>
              <w:t>−1.124% [−1.606, −0.642] sig</w:t>
            </w:r>
          </w:p>
        </w:tc>
        <w:tc>
          <w:tcPr>
            <w:tcW w:type="dxa" w:w="1440"/>
          </w:tcPr>
          <w:p>
            <w:r>
              <w:t>−1.281% [−1.732, −0.830] sig</w:t>
            </w:r>
          </w:p>
        </w:tc>
        <w:tc>
          <w:tcPr>
            <w:tcW w:type="dxa" w:w="1440"/>
          </w:tcPr>
          <w:p>
            <w:r>
              <w:t>−0.273% [−0.638, +0.091] ns</w:t>
            </w:r>
          </w:p>
        </w:tc>
      </w:tr>
    </w:tbl>
    <w:p/>
    <w:p>
      <w:pPr/>
      <w:r>
        <w:t>Control n: ITT 3,074,775 · Active 1,744,797 · ToT 1,297,352.</w:t>
      </w:r>
    </w:p>
    <w:p>
      <w:pPr/>
      <w:r>
        <w:t>On-title (ABF2 catalog only;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t>−2.457% [−3.080, −1.833] sig</w:t>
            </w:r>
          </w:p>
        </w:tc>
        <w:tc>
          <w:tcPr>
            <w:tcW w:type="dxa" w:w="1728"/>
          </w:tcPr>
          <w:p>
            <w:r>
              <w:t>−2.635% [−3.230, −2.041] sig</w:t>
            </w:r>
          </w:p>
        </w:tc>
        <w:tc>
          <w:tcPr>
            <w:tcW w:type="dxa" w:w="1728"/>
          </w:tcPr>
          <w:p>
            <w:r>
              <w:t>−0.005% [−0.508, +0.498] ns</w:t>
            </w:r>
          </w:p>
        </w:tc>
      </w:tr>
      <w:tr>
        <w:tc>
          <w:tcPr>
            <w:tcW w:type="dxa" w:w="1728"/>
          </w:tcPr>
          <w:p>
            <w:r>
              <w:t>ITT</w:t>
            </w:r>
          </w:p>
        </w:tc>
        <w:tc>
          <w:tcPr>
            <w:tcW w:type="dxa" w:w="1728"/>
          </w:tcPr>
          <w:p>
            <w:r>
              <w:t>v5b</w:t>
            </w:r>
          </w:p>
        </w:tc>
        <w:tc>
          <w:tcPr>
            <w:tcW w:type="dxa" w:w="1728"/>
          </w:tcPr>
          <w:p>
            <w:r>
              <w:t>+1.893% [+1.257, +2.528] sig</w:t>
            </w:r>
          </w:p>
        </w:tc>
        <w:tc>
          <w:tcPr>
            <w:tcW w:type="dxa" w:w="1728"/>
          </w:tcPr>
          <w:p>
            <w:r>
              <w:t>+2.017% [+1.409, +2.626] sig</w:t>
            </w:r>
          </w:p>
        </w:tc>
        <w:tc>
          <w:tcPr>
            <w:tcW w:type="dxa" w:w="1728"/>
          </w:tcPr>
          <w:p>
            <w:r>
              <w:t>−0.300% [−0.801, +0.200] ns</w:t>
            </w:r>
          </w:p>
        </w:tc>
      </w:tr>
      <w:tr>
        <w:tc>
          <w:tcPr>
            <w:tcW w:type="dxa" w:w="1728"/>
          </w:tcPr>
          <w:p>
            <w:r>
              <w:t>ITT</w:t>
            </w:r>
          </w:p>
        </w:tc>
        <w:tc>
          <w:tcPr>
            <w:tcW w:type="dxa" w:w="1728"/>
          </w:tcPr>
          <w:p>
            <w:r>
              <w:t>v6</w:t>
            </w:r>
          </w:p>
        </w:tc>
        <w:tc>
          <w:tcPr>
            <w:tcW w:type="dxa" w:w="1728"/>
          </w:tcPr>
          <w:p>
            <w:r>
              <w:t>−1.365% [−1.989, −0.742] sig</w:t>
            </w:r>
          </w:p>
        </w:tc>
        <w:tc>
          <w:tcPr>
            <w:tcW w:type="dxa" w:w="1728"/>
          </w:tcPr>
          <w:p>
            <w:r>
              <w:t>−1.634% [−2.227, −1.042] sig</w:t>
            </w:r>
          </w:p>
        </w:tc>
        <w:tc>
          <w:tcPr>
            <w:tcW w:type="dxa" w:w="1728"/>
          </w:tcPr>
          <w:p>
            <w:r>
              <w:t>−0.276% [−0.777, +0.225] ns</w:t>
            </w:r>
          </w:p>
        </w:tc>
      </w:tr>
      <w:tr>
        <w:tc>
          <w:tcPr>
            <w:tcW w:type="dxa" w:w="1728"/>
          </w:tcPr>
          <w:p>
            <w:r>
              <w:t>Active</w:t>
            </w:r>
          </w:p>
        </w:tc>
        <w:tc>
          <w:tcPr>
            <w:tcW w:type="dxa" w:w="1728"/>
          </w:tcPr>
          <w:p>
            <w:r>
              <w:t>v4</w:t>
            </w:r>
          </w:p>
        </w:tc>
        <w:tc>
          <w:tcPr>
            <w:tcW w:type="dxa" w:w="1728"/>
          </w:tcPr>
          <w:p>
            <w:r>
              <w:t>−2.444% [−3.061, −1.827] sig</w:t>
            </w:r>
          </w:p>
        </w:tc>
        <w:tc>
          <w:tcPr>
            <w:tcW w:type="dxa" w:w="1728"/>
          </w:tcPr>
          <w:p>
            <w:r>
              <w:t>−2.625% [−3.214, −2.036] sig</w:t>
            </w:r>
          </w:p>
        </w:tc>
        <w:tc>
          <w:tcPr>
            <w:tcW w:type="dxa" w:w="1728"/>
          </w:tcPr>
          <w:p>
            <w:r>
              <w:t>+0.027% [−0.470, +0.524] ns</w:t>
            </w:r>
          </w:p>
        </w:tc>
      </w:tr>
      <w:tr>
        <w:tc>
          <w:tcPr>
            <w:tcW w:type="dxa" w:w="1728"/>
          </w:tcPr>
          <w:p>
            <w:r>
              <w:t>Active</w:t>
            </w:r>
          </w:p>
        </w:tc>
        <w:tc>
          <w:tcPr>
            <w:tcW w:type="dxa" w:w="1728"/>
          </w:tcPr>
          <w:p>
            <w:r>
              <w:t>v5b</w:t>
            </w:r>
          </w:p>
        </w:tc>
        <w:tc>
          <w:tcPr>
            <w:tcW w:type="dxa" w:w="1728"/>
          </w:tcPr>
          <w:p>
            <w:r>
              <w:t>+1.886% [+1.256, +2.516] sig</w:t>
            </w:r>
          </w:p>
        </w:tc>
        <w:tc>
          <w:tcPr>
            <w:tcW w:type="dxa" w:w="1728"/>
          </w:tcPr>
          <w:p>
            <w:r>
              <w:t>+2.007% [+1.405, +2.610] sig</w:t>
            </w:r>
          </w:p>
        </w:tc>
        <w:tc>
          <w:tcPr>
            <w:tcW w:type="dxa" w:w="1728"/>
          </w:tcPr>
          <w:p>
            <w:r>
              <w:t>−0.280% [−0.774, +0.214] ns</w:t>
            </w:r>
          </w:p>
        </w:tc>
      </w:tr>
      <w:tr>
        <w:tc>
          <w:tcPr>
            <w:tcW w:type="dxa" w:w="1728"/>
          </w:tcPr>
          <w:p>
            <w:r>
              <w:t>Active</w:t>
            </w:r>
          </w:p>
        </w:tc>
        <w:tc>
          <w:tcPr>
            <w:tcW w:type="dxa" w:w="1728"/>
          </w:tcPr>
          <w:p>
            <w:r>
              <w:t>v6</w:t>
            </w:r>
          </w:p>
        </w:tc>
        <w:tc>
          <w:tcPr>
            <w:tcW w:type="dxa" w:w="1728"/>
          </w:tcPr>
          <w:p>
            <w:r>
              <w:t>−1.372% [−1.990, −0.755] sig</w:t>
            </w:r>
          </w:p>
        </w:tc>
        <w:tc>
          <w:tcPr>
            <w:tcW w:type="dxa" w:w="1728"/>
          </w:tcPr>
          <w:p>
            <w:r>
              <w:t>−1.644% [−2.231, −1.057] sig</w:t>
            </w:r>
          </w:p>
        </w:tc>
        <w:tc>
          <w:tcPr>
            <w:tcW w:type="dxa" w:w="1728"/>
          </w:tcPr>
          <w:p>
            <w:r>
              <w:t>−0.274% [−0.768, +0.221] ns</w:t>
            </w:r>
          </w:p>
        </w:tc>
      </w:tr>
      <w:tr>
        <w:tc>
          <w:tcPr>
            <w:tcW w:type="dxa" w:w="1728"/>
          </w:tcPr>
          <w:p>
            <w:r>
              <w:t>ToT</w:t>
            </w:r>
          </w:p>
        </w:tc>
        <w:tc>
          <w:tcPr>
            <w:tcW w:type="dxa" w:w="1728"/>
          </w:tcPr>
          <w:p>
            <w:r>
              <w:t>v4</w:t>
            </w:r>
          </w:p>
        </w:tc>
        <w:tc>
          <w:tcPr>
            <w:tcW w:type="dxa" w:w="1728"/>
          </w:tcPr>
          <w:p>
            <w:r>
              <w:t>−2.602% [−3.204, −2.001] sig</w:t>
            </w:r>
          </w:p>
        </w:tc>
        <w:tc>
          <w:tcPr>
            <w:tcW w:type="dxa" w:w="1728"/>
          </w:tcPr>
          <w:p>
            <w:r>
              <w:t>−2.774% [−3.345, −2.203] sig</w:t>
            </w:r>
          </w:p>
        </w:tc>
        <w:tc>
          <w:tcPr>
            <w:tcW w:type="dxa" w:w="1728"/>
          </w:tcPr>
          <w:p>
            <w:r>
              <w:t>−0.092% [−0.571, +0.386] ns</w:t>
            </w:r>
          </w:p>
        </w:tc>
      </w:tr>
      <w:tr>
        <w:tc>
          <w:tcPr>
            <w:tcW w:type="dxa" w:w="1728"/>
          </w:tcPr>
          <w:p>
            <w:r>
              <w:t>ToT</w:t>
            </w:r>
          </w:p>
        </w:tc>
        <w:tc>
          <w:tcPr>
            <w:tcW w:type="dxa" w:w="1728"/>
          </w:tcPr>
          <w:p>
            <w:r>
              <w:t>v5b</w:t>
            </w:r>
          </w:p>
        </w:tc>
        <w:tc>
          <w:tcPr>
            <w:tcW w:type="dxa" w:w="1728"/>
          </w:tcPr>
          <w:p>
            <w:r>
              <w:t>+1.760% [+1.147, +2.373] sig</w:t>
            </w:r>
          </w:p>
        </w:tc>
        <w:tc>
          <w:tcPr>
            <w:tcW w:type="dxa" w:w="1728"/>
          </w:tcPr>
          <w:p>
            <w:r>
              <w:t>+1.869% [+1.284, +2.453] sig</w:t>
            </w:r>
          </w:p>
        </w:tc>
        <w:tc>
          <w:tcPr>
            <w:tcW w:type="dxa" w:w="1728"/>
          </w:tcPr>
          <w:p>
            <w:r>
              <w:t>−0.406% [−0.882, +0.070] ns</w:t>
            </w:r>
          </w:p>
        </w:tc>
      </w:tr>
      <w:tr>
        <w:tc>
          <w:tcPr>
            <w:tcW w:type="dxa" w:w="1728"/>
          </w:tcPr>
          <w:p>
            <w:r>
              <w:t>ToT</w:t>
            </w:r>
          </w:p>
        </w:tc>
        <w:tc>
          <w:tcPr>
            <w:tcW w:type="dxa" w:w="1728"/>
          </w:tcPr>
          <w:p>
            <w:r>
              <w:t>v6</w:t>
            </w:r>
          </w:p>
        </w:tc>
        <w:tc>
          <w:tcPr>
            <w:tcW w:type="dxa" w:w="1728"/>
          </w:tcPr>
          <w:p>
            <w:r>
              <w:t>−1.535% [−2.136, −0.933] sig</w:t>
            </w:r>
          </w:p>
        </w:tc>
        <w:tc>
          <w:tcPr>
            <w:tcW w:type="dxa" w:w="1728"/>
          </w:tcPr>
          <w:p>
            <w:r>
              <w:t>−1.789% [−2.358, −1.220] sig</w:t>
            </w:r>
          </w:p>
        </w:tc>
        <w:tc>
          <w:tcPr>
            <w:tcW w:type="dxa" w:w="1728"/>
          </w:tcPr>
          <w:p>
            <w:r>
              <w:t>−0.362% [−0.839, +0.114] ns</w:t>
            </w:r>
          </w:p>
        </w:tc>
      </w:tr>
    </w:tbl>
    <w:p/>
    <w:p>
      <w:pPr/>
      <w:r>
        <w:t>On the treated ABF2 titles the split sharpens: v5b +1.893% sig unbudgeted revenue, v4 −2.457% sig, v6 −1.365% sig, the same sign and significance in every population. On-title TVT is not significant for any arm.</w:t>
      </w:r>
    </w:p>
    <w:p>
      <w:pPr/>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~1.9% of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3,011,247</w:t>
            </w:r>
          </w:p>
        </w:tc>
        <w:tc>
          <w:tcPr>
            <w:tcW w:type="dxa" w:w="1728"/>
          </w:tcPr>
          <w:p>
            <w:r>
              <w:t>−0.010% [−0.425, +0.404]</w:t>
            </w:r>
          </w:p>
        </w:tc>
        <w:tc>
          <w:tcPr>
            <w:tcW w:type="dxa" w:w="1728"/>
          </w:tcPr>
          <w:p>
            <w:r>
              <w:t>No</w:t>
            </w:r>
          </w:p>
        </w:tc>
      </w:tr>
      <w:tr>
        <w:tc>
          <w:tcPr>
            <w:tcW w:type="dxa" w:w="1728"/>
          </w:tcPr>
          <w:p>
            <w:r>
              <w:t>Non-power viewers</w:t>
            </w:r>
          </w:p>
        </w:tc>
        <w:tc>
          <w:tcPr>
            <w:tcW w:type="dxa" w:w="1728"/>
          </w:tcPr>
          <w:p>
            <w:r>
              <w:t>v5b</w:t>
            </w:r>
          </w:p>
        </w:tc>
        <w:tc>
          <w:tcPr>
            <w:tcW w:type="dxa" w:w="1728"/>
          </w:tcPr>
          <w:p>
            <w:r>
              <w:t>3,012,366</w:t>
            </w:r>
          </w:p>
        </w:tc>
        <w:tc>
          <w:tcPr>
            <w:tcW w:type="dxa" w:w="1728"/>
          </w:tcPr>
          <w:p>
            <w:r>
              <w:t>−0.293% [−0.707, +0.121]</w:t>
            </w:r>
          </w:p>
        </w:tc>
        <w:tc>
          <w:tcPr>
            <w:tcW w:type="dxa" w:w="1728"/>
          </w:tcPr>
          <w:p>
            <w:r>
              <w:t>No</w:t>
            </w:r>
          </w:p>
        </w:tc>
      </w:tr>
      <w:tr>
        <w:tc>
          <w:tcPr>
            <w:tcW w:type="dxa" w:w="1728"/>
          </w:tcPr>
          <w:p>
            <w:r>
              <w:t>Non-power viewers</w:t>
            </w:r>
          </w:p>
        </w:tc>
        <w:tc>
          <w:tcPr>
            <w:tcW w:type="dxa" w:w="1728"/>
          </w:tcPr>
          <w:p>
            <w:r>
              <w:t>v6</w:t>
            </w:r>
          </w:p>
        </w:tc>
        <w:tc>
          <w:tcPr>
            <w:tcW w:type="dxa" w:w="1728"/>
          </w:tcPr>
          <w:p>
            <w:r>
              <w:t>3,016,273</w:t>
            </w:r>
          </w:p>
        </w:tc>
        <w:tc>
          <w:tcPr>
            <w:tcW w:type="dxa" w:w="1728"/>
          </w:tcPr>
          <w:p>
            <w:r>
              <w:t>−0.226% [−0.638, +0.187]</w:t>
            </w:r>
          </w:p>
        </w:tc>
        <w:tc>
          <w:tcPr>
            <w:tcW w:type="dxa" w:w="1728"/>
          </w:tcPr>
          <w:p>
            <w:r>
              <w:t>No</w:t>
            </w:r>
          </w:p>
        </w:tc>
      </w:tr>
      <w:tr>
        <w:tc>
          <w:tcPr>
            <w:tcW w:type="dxa" w:w="1728"/>
          </w:tcPr>
          <w:p>
            <w:r>
              <w:t>Power viewers</w:t>
            </w:r>
          </w:p>
        </w:tc>
        <w:tc>
          <w:tcPr>
            <w:tcW w:type="dxa" w:w="1728"/>
          </w:tcPr>
          <w:p>
            <w:r>
              <w:t>v4</w:t>
            </w:r>
          </w:p>
        </w:tc>
        <w:tc>
          <w:tcPr>
            <w:tcW w:type="dxa" w:w="1728"/>
          </w:tcPr>
          <w:p>
            <w:r>
              <w:t>58,432</w:t>
            </w:r>
          </w:p>
        </w:tc>
        <w:tc>
          <w:tcPr>
            <w:tcW w:type="dxa" w:w="1728"/>
          </w:tcPr>
          <w:p>
            <w:r>
              <w:t>+0.075% [−0.633, +0.783]</w:t>
            </w:r>
          </w:p>
        </w:tc>
        <w:tc>
          <w:tcPr>
            <w:tcW w:type="dxa" w:w="1728"/>
          </w:tcPr>
          <w:p>
            <w:r>
              <w:t>No</w:t>
            </w:r>
          </w:p>
        </w:tc>
      </w:tr>
      <w:tr>
        <w:tc>
          <w:tcPr>
            <w:tcW w:type="dxa" w:w="1728"/>
          </w:tcPr>
          <w:p>
            <w:r>
              <w:t>Power viewers</w:t>
            </w:r>
          </w:p>
        </w:tc>
        <w:tc>
          <w:tcPr>
            <w:tcW w:type="dxa" w:w="1728"/>
          </w:tcPr>
          <w:p>
            <w:r>
              <w:t>v5b</w:t>
            </w:r>
          </w:p>
        </w:tc>
        <w:tc>
          <w:tcPr>
            <w:tcW w:type="dxa" w:w="1728"/>
          </w:tcPr>
          <w:p>
            <w:r>
              <w:t>57,935</w:t>
            </w:r>
          </w:p>
        </w:tc>
        <w:tc>
          <w:tcPr>
            <w:tcW w:type="dxa" w:w="1728"/>
          </w:tcPr>
          <w:p>
            <w:r>
              <w:t>−0.643% [−1.351, +0.066]</w:t>
            </w:r>
          </w:p>
        </w:tc>
        <w:tc>
          <w:tcPr>
            <w:tcW w:type="dxa" w:w="1728"/>
          </w:tcPr>
          <w:p>
            <w:r>
              <w:t>No</w:t>
            </w:r>
          </w:p>
        </w:tc>
      </w:tr>
      <w:tr>
        <w:tc>
          <w:tcPr>
            <w:tcW w:type="dxa" w:w="1728"/>
          </w:tcPr>
          <w:p>
            <w:r>
              <w:t>Power viewers</w:t>
            </w:r>
          </w:p>
        </w:tc>
        <w:tc>
          <w:tcPr>
            <w:tcW w:type="dxa" w:w="1728"/>
          </w:tcPr>
          <w:p>
            <w:r>
              <w:t>v6</w:t>
            </w:r>
          </w:p>
        </w:tc>
        <w:tc>
          <w:tcPr>
            <w:tcW w:type="dxa" w:w="1728"/>
          </w:tcPr>
          <w:p>
            <w:r>
              <w:t>58,371</w:t>
            </w:r>
          </w:p>
        </w:tc>
        <w:tc>
          <w:tcPr>
            <w:tcW w:type="dxa" w:w="1728"/>
          </w:tcPr>
          <w:p>
            <w:r>
              <w:t>−0.293% [−1.000, +0.415]</w:t>
            </w:r>
          </w:p>
        </w:tc>
        <w:tc>
          <w:tcPr>
            <w:tcW w:type="dxa" w:w="1728"/>
          </w:tcPr>
          <w:p>
            <w:r>
              <w:t>No</w:t>
            </w:r>
          </w:p>
        </w:tc>
      </w:tr>
    </w:tbl>
    <w:p/>
    <w:p>
      <w:pPr/>
      <w:r>
        <w:t>Control n: non-power 3,016,812 · power 57,963. No arm moves TVT significantly for either viewer type (v5b non-power −0.293% ns, power −0.643% ns); the v5b global dip is spread across both. Power viewers are a small share on mobile (~1.9%), so their intervals are wide.</w:t>
      </w:r>
    </w:p>
    <w:p>
      <w:pPr>
        <w:pStyle w:val="Heading1"/>
      </w:pPr>
      <w:r>
        <w:t>2. Where the result lives</w:t>
      </w:r>
    </w:p>
    <w:p>
      <w:pPr/>
      <w:r>
        <w:t>Band and movie/episode numbers below are raw device-level Welch lifts (unbudgeted revenue/impressions, not CUPED), among devices who watched at least one treated title in that band or type during the window. The same device can appear in more than one band. Bands are the title’s ABF2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−5.48% [−7.17, −3.79] sig</w:t>
            </w:r>
          </w:p>
        </w:tc>
        <w:tc>
          <w:tcPr>
            <w:tcW w:type="dxa" w:w="1440"/>
          </w:tcPr>
          <w:p>
            <w:r>
              <w:t>+0.27% ns</w:t>
            </w:r>
          </w:p>
        </w:tc>
        <w:tc>
          <w:tcPr>
            <w:tcW w:type="dxa" w:w="1440"/>
          </w:tcPr>
          <w:p>
            <w:r>
              <w:t>−5.75% [−7.36, −4.14] sig</w:t>
            </w:r>
          </w:p>
        </w:tc>
        <w:tc>
          <w:tcPr>
            <w:tcW w:type="dxa" w:w="1440"/>
          </w:tcPr>
          <w:p>
            <w:r>
              <w:t>380,061</w:t>
            </w:r>
          </w:p>
        </w:tc>
      </w:tr>
      <w:tr>
        <w:tc>
          <w:tcPr>
            <w:tcW w:type="dxa" w:w="1440"/>
          </w:tcPr>
          <w:p>
            <w:r>
              <w:t>1–3</w:t>
            </w:r>
          </w:p>
        </w:tc>
        <w:tc>
          <w:tcPr>
            <w:tcW w:type="dxa" w:w="1440"/>
          </w:tcPr>
          <w:p>
            <w:r>
              <w:t>v5b</w:t>
            </w:r>
          </w:p>
        </w:tc>
        <w:tc>
          <w:tcPr>
            <w:tcW w:type="dxa" w:w="1440"/>
          </w:tcPr>
          <w:p>
            <w:r>
              <w:t>+1.98% [+0.27, +3.70] sig</w:t>
            </w:r>
          </w:p>
        </w:tc>
        <w:tc>
          <w:tcPr>
            <w:tcW w:type="dxa" w:w="1440"/>
          </w:tcPr>
          <w:p>
            <w:r>
              <w:t>−0.83% ns</w:t>
            </w:r>
          </w:p>
        </w:tc>
        <w:tc>
          <w:tcPr>
            <w:tcW w:type="dxa" w:w="1440"/>
          </w:tcPr>
          <w:p>
            <w:r>
              <w:t>+2.15% [+0.49, +3.82] sig</w:t>
            </w:r>
          </w:p>
        </w:tc>
        <w:tc>
          <w:tcPr>
            <w:tcW w:type="dxa" w:w="1440"/>
          </w:tcPr>
          <w:p>
            <w:r>
              <w:t>379,183</w:t>
            </w:r>
          </w:p>
        </w:tc>
      </w:tr>
      <w:tr>
        <w:tc>
          <w:tcPr>
            <w:tcW w:type="dxa" w:w="1440"/>
          </w:tcPr>
          <w:p>
            <w:r>
              <w:t>1–3</w:t>
            </w:r>
          </w:p>
        </w:tc>
        <w:tc>
          <w:tcPr>
            <w:tcW w:type="dxa" w:w="1440"/>
          </w:tcPr>
          <w:p>
            <w:r>
              <w:t>v6</w:t>
            </w:r>
          </w:p>
        </w:tc>
        <w:tc>
          <w:tcPr>
            <w:tcW w:type="dxa" w:w="1440"/>
          </w:tcPr>
          <w:p>
            <w:r>
              <w:t>−6.54% [−8.18, −4.90] sig</w:t>
            </w:r>
          </w:p>
        </w:tc>
        <w:tc>
          <w:tcPr>
            <w:tcW w:type="dxa" w:w="1440"/>
          </w:tcPr>
          <w:p>
            <w:r>
              <w:t>−0.71% ns</w:t>
            </w:r>
          </w:p>
        </w:tc>
        <w:tc>
          <w:tcPr>
            <w:tcW w:type="dxa" w:w="1440"/>
          </w:tcPr>
          <w:p>
            <w:r>
              <w:t>−6.75% [−8.34, −5.16] sig</w:t>
            </w:r>
          </w:p>
        </w:tc>
        <w:tc>
          <w:tcPr>
            <w:tcW w:type="dxa" w:w="1440"/>
          </w:tcPr>
          <w:p>
            <w:r>
              <w:t>380,688</w:t>
            </w:r>
          </w:p>
        </w:tc>
      </w:tr>
      <w:tr>
        <w:tc>
          <w:tcPr>
            <w:tcW w:type="dxa" w:w="1440"/>
          </w:tcPr>
          <w:p>
            <w:r>
              <w:t>4–6</w:t>
            </w:r>
          </w:p>
        </w:tc>
        <w:tc>
          <w:tcPr>
            <w:tcW w:type="dxa" w:w="1440"/>
          </w:tcPr>
          <w:p>
            <w:r>
              <w:t>v4</w:t>
            </w:r>
          </w:p>
        </w:tc>
        <w:tc>
          <w:tcPr>
            <w:tcW w:type="dxa" w:w="1440"/>
          </w:tcPr>
          <w:p>
            <w:r>
              <w:t>−2.66% [−4.10, −1.21] sig</w:t>
            </w:r>
          </w:p>
        </w:tc>
        <w:tc>
          <w:tcPr>
            <w:tcW w:type="dxa" w:w="1440"/>
          </w:tcPr>
          <w:p>
            <w:r>
              <w:t>+0.96% ns</w:t>
            </w:r>
          </w:p>
        </w:tc>
        <w:tc>
          <w:tcPr>
            <w:tcW w:type="dxa" w:w="1440"/>
          </w:tcPr>
          <w:p>
            <w:r>
              <w:t>−2.99% [−4.34, −1.63] sig</w:t>
            </w:r>
          </w:p>
        </w:tc>
        <w:tc>
          <w:tcPr>
            <w:tcW w:type="dxa" w:w="1440"/>
          </w:tcPr>
          <w:p>
            <w:r>
              <w:t>467,579</w:t>
            </w:r>
          </w:p>
        </w:tc>
      </w:tr>
      <w:tr>
        <w:tc>
          <w:tcPr>
            <w:tcW w:type="dxa" w:w="1440"/>
          </w:tcPr>
          <w:p>
            <w:r>
              <w:t>4–6</w:t>
            </w:r>
          </w:p>
        </w:tc>
        <w:tc>
          <w:tcPr>
            <w:tcW w:type="dxa" w:w="1440"/>
          </w:tcPr>
          <w:p>
            <w:r>
              <w:t>v5b</w:t>
            </w:r>
          </w:p>
        </w:tc>
        <w:tc>
          <w:tcPr>
            <w:tcW w:type="dxa" w:w="1440"/>
          </w:tcPr>
          <w:p>
            <w:r>
              <w:t>+4.20% [+2.71, +5.69] sig</w:t>
            </w:r>
          </w:p>
        </w:tc>
        <w:tc>
          <w:tcPr>
            <w:tcW w:type="dxa" w:w="1440"/>
          </w:tcPr>
          <w:p>
            <w:r>
              <w:t>+0.30% ns</w:t>
            </w:r>
          </w:p>
        </w:tc>
        <w:tc>
          <w:tcPr>
            <w:tcW w:type="dxa" w:w="1440"/>
          </w:tcPr>
          <w:p>
            <w:r>
              <w:t>+4.28% [+2.87, +5.68] sig</w:t>
            </w:r>
          </w:p>
        </w:tc>
        <w:tc>
          <w:tcPr>
            <w:tcW w:type="dxa" w:w="1440"/>
          </w:tcPr>
          <w:p>
            <w:r>
              <w:t>466,890</w:t>
            </w:r>
          </w:p>
        </w:tc>
      </w:tr>
      <w:tr>
        <w:tc>
          <w:tcPr>
            <w:tcW w:type="dxa" w:w="1440"/>
          </w:tcPr>
          <w:p>
            <w:r>
              <w:t>4–6</w:t>
            </w:r>
          </w:p>
        </w:tc>
        <w:tc>
          <w:tcPr>
            <w:tcW w:type="dxa" w:w="1440"/>
          </w:tcPr>
          <w:p>
            <w:r>
              <w:t>v6</w:t>
            </w:r>
          </w:p>
        </w:tc>
        <w:tc>
          <w:tcPr>
            <w:tcW w:type="dxa" w:w="1440"/>
          </w:tcPr>
          <w:p>
            <w:r>
              <w:t>−3.92% [−5.35, −2.48] sig</w:t>
            </w:r>
          </w:p>
        </w:tc>
        <w:tc>
          <w:tcPr>
            <w:tcW w:type="dxa" w:w="1440"/>
          </w:tcPr>
          <w:p>
            <w:r>
              <w:t>+0.20% ns</w:t>
            </w:r>
          </w:p>
        </w:tc>
        <w:tc>
          <w:tcPr>
            <w:tcW w:type="dxa" w:w="1440"/>
          </w:tcPr>
          <w:p>
            <w:r>
              <w:t>−4.14% [−5.48, −2.79] sig</w:t>
            </w:r>
          </w:p>
        </w:tc>
        <w:tc>
          <w:tcPr>
            <w:tcW w:type="dxa" w:w="1440"/>
          </w:tcPr>
          <w:p>
            <w:r>
              <w:t>468,334</w:t>
            </w:r>
          </w:p>
        </w:tc>
      </w:tr>
      <w:tr>
        <w:tc>
          <w:tcPr>
            <w:tcW w:type="dxa" w:w="1440"/>
          </w:tcPr>
          <w:p>
            <w:r>
              <w:t>7–9</w:t>
            </w:r>
          </w:p>
        </w:tc>
        <w:tc>
          <w:tcPr>
            <w:tcW w:type="dxa" w:w="1440"/>
          </w:tcPr>
          <w:p>
            <w:r>
              <w:t>v4</w:t>
            </w:r>
          </w:p>
        </w:tc>
        <w:tc>
          <w:tcPr>
            <w:tcW w:type="dxa" w:w="1440"/>
          </w:tcPr>
          <w:p>
            <w:r>
              <w:t>−2.97% [−4.39, −1.56] sig</w:t>
            </w:r>
          </w:p>
        </w:tc>
        <w:tc>
          <w:tcPr>
            <w:tcW w:type="dxa" w:w="1440"/>
          </w:tcPr>
          <w:p>
            <w:r>
              <w:t>+0.08% ns</w:t>
            </w:r>
          </w:p>
        </w:tc>
        <w:tc>
          <w:tcPr>
            <w:tcW w:type="dxa" w:w="1440"/>
          </w:tcPr>
          <w:p>
            <w:r>
              <w:t>−3.60% [−4.94, −2.27] sig</w:t>
            </w:r>
          </w:p>
        </w:tc>
        <w:tc>
          <w:tcPr>
            <w:tcW w:type="dxa" w:w="1440"/>
          </w:tcPr>
          <w:p>
            <w:r>
              <w:t>529,594</w:t>
            </w:r>
          </w:p>
        </w:tc>
      </w:tr>
      <w:tr>
        <w:tc>
          <w:tcPr>
            <w:tcW w:type="dxa" w:w="1440"/>
          </w:tcPr>
          <w:p>
            <w:r>
              <w:t>7–9</w:t>
            </w:r>
          </w:p>
        </w:tc>
        <w:tc>
          <w:tcPr>
            <w:tcW w:type="dxa" w:w="1440"/>
          </w:tcPr>
          <w:p>
            <w:r>
              <w:t>v5b</w:t>
            </w:r>
          </w:p>
        </w:tc>
        <w:tc>
          <w:tcPr>
            <w:tcW w:type="dxa" w:w="1440"/>
          </w:tcPr>
          <w:p>
            <w:r>
              <w:t>+2.72% [+1.26, +4.17] sig</w:t>
            </w:r>
          </w:p>
        </w:tc>
        <w:tc>
          <w:tcPr>
            <w:tcW w:type="dxa" w:w="1440"/>
          </w:tcPr>
          <w:p>
            <w:r>
              <w:t>+0.33% ns</w:t>
            </w:r>
          </w:p>
        </w:tc>
        <w:tc>
          <w:tcPr>
            <w:tcW w:type="dxa" w:w="1440"/>
          </w:tcPr>
          <w:p>
            <w:r>
              <w:t>+2.59% [+1.21, +3.97] sig</w:t>
            </w:r>
          </w:p>
        </w:tc>
        <w:tc>
          <w:tcPr>
            <w:tcW w:type="dxa" w:w="1440"/>
          </w:tcPr>
          <w:p>
            <w:r>
              <w:t>527,501</w:t>
            </w:r>
          </w:p>
        </w:tc>
      </w:tr>
      <w:tr>
        <w:tc>
          <w:tcPr>
            <w:tcW w:type="dxa" w:w="1440"/>
          </w:tcPr>
          <w:p>
            <w:r>
              <w:t>7–9</w:t>
            </w:r>
          </w:p>
        </w:tc>
        <w:tc>
          <w:tcPr>
            <w:tcW w:type="dxa" w:w="1440"/>
          </w:tcPr>
          <w:p>
            <w:r>
              <w:t>v6</w:t>
            </w:r>
          </w:p>
        </w:tc>
        <w:tc>
          <w:tcPr>
            <w:tcW w:type="dxa" w:w="1440"/>
          </w:tcPr>
          <w:p>
            <w:r>
              <w:t>−1.42% [−2.83, +0.00] ns</w:t>
            </w:r>
          </w:p>
        </w:tc>
        <w:tc>
          <w:tcPr>
            <w:tcW w:type="dxa" w:w="1440"/>
          </w:tcPr>
          <w:p>
            <w:r>
              <w:t>+0.24% ns</w:t>
            </w:r>
          </w:p>
        </w:tc>
        <w:tc>
          <w:tcPr>
            <w:tcW w:type="dxa" w:w="1440"/>
          </w:tcPr>
          <w:p>
            <w:r>
              <w:t>−1.88% [−3.22, −0.54] sig</w:t>
            </w:r>
          </w:p>
        </w:tc>
        <w:tc>
          <w:tcPr>
            <w:tcW w:type="dxa" w:w="1440"/>
          </w:tcPr>
          <w:p>
            <w:r>
              <w:t>530,495</w:t>
            </w:r>
          </w:p>
        </w:tc>
      </w:tr>
      <w:tr>
        <w:tc>
          <w:tcPr>
            <w:tcW w:type="dxa" w:w="1440"/>
          </w:tcPr>
          <w:p>
            <w:r>
              <w:t>10–12</w:t>
            </w:r>
          </w:p>
        </w:tc>
        <w:tc>
          <w:tcPr>
            <w:tcW w:type="dxa" w:w="1440"/>
          </w:tcPr>
          <w:p>
            <w:r>
              <w:t>v4</w:t>
            </w:r>
          </w:p>
        </w:tc>
        <w:tc>
          <w:tcPr>
            <w:tcW w:type="dxa" w:w="1440"/>
          </w:tcPr>
          <w:p>
            <w:r>
              <w:t>+0.92% [−0.08, +1.91] ns</w:t>
            </w:r>
          </w:p>
        </w:tc>
        <w:tc>
          <w:tcPr>
            <w:tcW w:type="dxa" w:w="1440"/>
          </w:tcPr>
          <w:p>
            <w:r>
              <w:t>+0.04% ns</w:t>
            </w:r>
          </w:p>
        </w:tc>
        <w:tc>
          <w:tcPr>
            <w:tcW w:type="dxa" w:w="1440"/>
          </w:tcPr>
          <w:p>
            <w:r>
              <w:t>+1.33% [+0.41, +2.25] sig</w:t>
            </w:r>
          </w:p>
        </w:tc>
        <w:tc>
          <w:tcPr>
            <w:tcW w:type="dxa" w:w="1440"/>
          </w:tcPr>
          <w:p>
            <w:r>
              <w:t>631,330</w:t>
            </w:r>
          </w:p>
        </w:tc>
      </w:tr>
      <w:tr>
        <w:tc>
          <w:tcPr>
            <w:tcW w:type="dxa" w:w="1440"/>
          </w:tcPr>
          <w:p>
            <w:r>
              <w:t>10–12</w:t>
            </w:r>
          </w:p>
        </w:tc>
        <w:tc>
          <w:tcPr>
            <w:tcW w:type="dxa" w:w="1440"/>
          </w:tcPr>
          <w:p>
            <w:r>
              <w:t>v5b</w:t>
            </w:r>
          </w:p>
        </w:tc>
        <w:tc>
          <w:tcPr>
            <w:tcW w:type="dxa" w:w="1440"/>
          </w:tcPr>
          <w:p>
            <w:r>
              <w:t>+3.90% [+2.89, +4.91] sig</w:t>
            </w:r>
          </w:p>
        </w:tc>
        <w:tc>
          <w:tcPr>
            <w:tcW w:type="dxa" w:w="1440"/>
          </w:tcPr>
          <w:p>
            <w:r>
              <w:t>+0.16% ns</w:t>
            </w:r>
          </w:p>
        </w:tc>
        <w:tc>
          <w:tcPr>
            <w:tcW w:type="dxa" w:w="1440"/>
          </w:tcPr>
          <w:p>
            <w:r>
              <w:t>+3.92% [+2.99, +4.86] sig</w:t>
            </w:r>
          </w:p>
        </w:tc>
        <w:tc>
          <w:tcPr>
            <w:tcW w:type="dxa" w:w="1440"/>
          </w:tcPr>
          <w:p>
            <w:r>
              <w:t>630,655</w:t>
            </w:r>
          </w:p>
        </w:tc>
      </w:tr>
      <w:tr>
        <w:tc>
          <w:tcPr>
            <w:tcW w:type="dxa" w:w="1440"/>
          </w:tcPr>
          <w:p>
            <w:r>
              <w:t>10–12</w:t>
            </w:r>
          </w:p>
        </w:tc>
        <w:tc>
          <w:tcPr>
            <w:tcW w:type="dxa" w:w="1440"/>
          </w:tcPr>
          <w:p>
            <w:r>
              <w:t>v6</w:t>
            </w:r>
          </w:p>
        </w:tc>
        <w:tc>
          <w:tcPr>
            <w:tcW w:type="dxa" w:w="1440"/>
          </w:tcPr>
          <w:p>
            <w:r>
              <w:t>+4.49% [+3.48, +5.50] sig</w:t>
            </w:r>
          </w:p>
        </w:tc>
        <w:tc>
          <w:tcPr>
            <w:tcW w:type="dxa" w:w="1440"/>
          </w:tcPr>
          <w:p>
            <w:r>
              <w:t>−0.12% ns</w:t>
            </w:r>
          </w:p>
        </w:tc>
        <w:tc>
          <w:tcPr>
            <w:tcW w:type="dxa" w:w="1440"/>
          </w:tcPr>
          <w:p>
            <w:r>
              <w:t>+4.51% [+3.58, +5.45] sig</w:t>
            </w:r>
          </w:p>
        </w:tc>
        <w:tc>
          <w:tcPr>
            <w:tcW w:type="dxa" w:w="1440"/>
          </w:tcPr>
          <w:p>
            <w:r>
              <w:t>631,725</w:t>
            </w:r>
          </w:p>
        </w:tc>
      </w:tr>
      <w:tr>
        <w:tc>
          <w:tcPr>
            <w:tcW w:type="dxa" w:w="1440"/>
          </w:tcPr>
          <w:p>
            <w:r>
              <w:t>13+</w:t>
            </w:r>
          </w:p>
        </w:tc>
        <w:tc>
          <w:tcPr>
            <w:tcW w:type="dxa" w:w="1440"/>
          </w:tcPr>
          <w:p>
            <w:r>
              <w:t>v4</w:t>
            </w:r>
          </w:p>
        </w:tc>
        <w:tc>
          <w:tcPr>
            <w:tcW w:type="dxa" w:w="1440"/>
          </w:tcPr>
          <w:p>
            <w:r>
              <w:t>−1.56% [−2.42, −0.71] sig</w:t>
            </w:r>
          </w:p>
        </w:tc>
        <w:tc>
          <w:tcPr>
            <w:tcW w:type="dxa" w:w="1440"/>
          </w:tcPr>
          <w:p>
            <w:r>
              <w:t>−0.23% ns</w:t>
            </w:r>
          </w:p>
        </w:tc>
        <w:tc>
          <w:tcPr>
            <w:tcW w:type="dxa" w:w="1440"/>
          </w:tcPr>
          <w:p>
            <w:r>
              <w:t>−1.52% [−2.33, −0.72] sig</w:t>
            </w:r>
          </w:p>
        </w:tc>
        <w:tc>
          <w:tcPr>
            <w:tcW w:type="dxa" w:w="1440"/>
          </w:tcPr>
          <w:p>
            <w:r>
              <w:t>816,560</w:t>
            </w:r>
          </w:p>
        </w:tc>
      </w:tr>
      <w:tr>
        <w:tc>
          <w:tcPr>
            <w:tcW w:type="dxa" w:w="1440"/>
          </w:tcPr>
          <w:p>
            <w:r>
              <w:t>13+</w:t>
            </w:r>
          </w:p>
        </w:tc>
        <w:tc>
          <w:tcPr>
            <w:tcW w:type="dxa" w:w="1440"/>
          </w:tcPr>
          <w:p>
            <w:r>
              <w:t>v5b</w:t>
            </w:r>
          </w:p>
        </w:tc>
        <w:tc>
          <w:tcPr>
            <w:tcW w:type="dxa" w:w="1440"/>
          </w:tcPr>
          <w:p>
            <w:r>
              <w:t>−0.87% [−1.73, −0.01] sig</w:t>
            </w:r>
          </w:p>
        </w:tc>
        <w:tc>
          <w:tcPr>
            <w:tcW w:type="dxa" w:w="1440"/>
          </w:tcPr>
          <w:p>
            <w:r>
              <w:t>−0.77% sig</w:t>
            </w:r>
          </w:p>
        </w:tc>
        <w:tc>
          <w:tcPr>
            <w:tcW w:type="dxa" w:w="1440"/>
          </w:tcPr>
          <w:p>
            <w:r>
              <w:t>−1.06% [−1.86, −0.25] sig</w:t>
            </w:r>
          </w:p>
        </w:tc>
        <w:tc>
          <w:tcPr>
            <w:tcW w:type="dxa" w:w="1440"/>
          </w:tcPr>
          <w:p>
            <w:r>
              <w:t>815,623</w:t>
            </w:r>
          </w:p>
        </w:tc>
      </w:tr>
      <w:tr>
        <w:tc>
          <w:tcPr>
            <w:tcW w:type="dxa" w:w="1440"/>
          </w:tcPr>
          <w:p>
            <w:r>
              <w:t>13+</w:t>
            </w:r>
          </w:p>
        </w:tc>
        <w:tc>
          <w:tcPr>
            <w:tcW w:type="dxa" w:w="1440"/>
          </w:tcPr>
          <w:p>
            <w:r>
              <w:t>v6</w:t>
            </w:r>
          </w:p>
        </w:tc>
        <w:tc>
          <w:tcPr>
            <w:tcW w:type="dxa" w:w="1440"/>
          </w:tcPr>
          <w:p>
            <w:r>
              <w:t>+0.09% [−0.78, +0.96] ns</w:t>
            </w:r>
          </w:p>
        </w:tc>
        <w:tc>
          <w:tcPr>
            <w:tcW w:type="dxa" w:w="1440"/>
          </w:tcPr>
          <w:p>
            <w:r>
              <w:t>−0.97% sig</w:t>
            </w:r>
          </w:p>
        </w:tc>
        <w:tc>
          <w:tcPr>
            <w:tcW w:type="dxa" w:w="1440"/>
          </w:tcPr>
          <w:p>
            <w:r>
              <w:t>−0.10% [−0.91, +0.71] ns</w:t>
            </w:r>
          </w:p>
        </w:tc>
        <w:tc>
          <w:tcPr>
            <w:tcW w:type="dxa" w:w="1440"/>
          </w:tcPr>
          <w:p>
            <w:r>
              <w:t>817,301</w:t>
            </w:r>
          </w:p>
        </w:tc>
      </w:tr>
    </w:tbl>
    <w:p/>
    <w:p>
      <w:pPr/>
      <w:r>
        <w:t>Control n by band: 1–3 380,799 · 4–6 468,188 · 7–9 529,543 · 10–12 631,775 · 13+ 816,579.</w:t>
      </w:r>
    </w:p>
    <w:p>
      <w:pPr>
        <w:pStyle w:val="ListBullet"/>
      </w:pPr>
      <w:r>
        <w:t>1–3 and 4–6 are where v4/v6 lose: 1–3 v4 −5.48% sig, v6 −6.54% sig; 4–6 v4 −2.66% sig, v6 −3.92% sig. v5b is up in both (+1.98% sig, +4.20% sig). On OTT 1–3 is flat and the 4–6 losses are smaller (v4 −1.29% sig, v6 −1.97% sig).</w:t>
      </w:r>
    </w:p>
    <w:p>
      <w:pPr>
        <w:pStyle w:val="ListBullet"/>
      </w:pPr>
      <w:r>
        <w:t>10–12 is the positive pocket for v6 (+4.49% sig) and v5b (+3.90% sig); v4 is +0.92% ns.</w:t>
      </w:r>
    </w:p>
    <w:p>
      <w:pPr>
        <w:pStyle w:val="ListBullet"/>
      </w:pPr>
      <w:r>
        <w:t>7–9 gains on v5b (+2.72% sig) and loses on v4 (−2.97% sig); v6 −1.42% ns. 13+ loses on v4 (−1.56% sig) and slightly on v5b (−0.87% sig); v6 is +0.09% ns.</w:t>
      </w:r>
    </w:p>
    <w:p>
      <w:pPr>
        <w:pStyle w:val="ListBullet"/>
      </w:pPr>
      <w:r>
        <w:t>TVT is flat in every band except 13+ on v5b (−0.77% sig) and v6 (−0.97% sig).</w:t>
      </w:r>
    </w:p>
    <w:p>
      <w:pPr>
        <w:pStyle w:val="Heading2"/>
      </w:pPr>
      <w:r>
        <w:t>2b. Below-control versus at-or-above-control</w:t>
      </w:r>
    </w:p>
    <w:p>
      <w:pPr/>
      <w:r>
        <w:t>Built from the served cue lists in `ml_dev.tmp.abf3_new_pruner_cuepoints` (snapshot 2026-10-08; T1 = v4, T2 = v6, T3 = v5b). Each dense-band title is tagged by whether that arm kept fewer cue points than its ABF2 control count or at or above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t>−7.23% [−8.90, −5.57] sig</w:t>
            </w:r>
          </w:p>
        </w:tc>
        <w:tc>
          <w:tcPr>
            <w:tcW w:type="dxa" w:w="1728"/>
          </w:tcPr>
          <w:p>
            <w:r>
              <w:t>−0.01% ns</w:t>
            </w:r>
          </w:p>
        </w:tc>
      </w:tr>
      <w:tr>
        <w:tc>
          <w:tcPr>
            <w:tcW w:type="dxa" w:w="1728"/>
          </w:tcPr>
          <w:p>
            <w:r>
              <w:t>10–12</w:t>
            </w:r>
          </w:p>
        </w:tc>
        <w:tc>
          <w:tcPr>
            <w:tcW w:type="dxa" w:w="1728"/>
          </w:tcPr>
          <w:p>
            <w:r>
              <w:t>below control</w:t>
            </w:r>
          </w:p>
        </w:tc>
        <w:tc>
          <w:tcPr>
            <w:tcW w:type="dxa" w:w="1728"/>
          </w:tcPr>
          <w:p>
            <w:r>
              <w:t>v5b</w:t>
            </w:r>
          </w:p>
        </w:tc>
        <w:tc>
          <w:tcPr>
            <w:tcW w:type="dxa" w:w="1728"/>
          </w:tcPr>
          <w:p>
            <w:r>
              <w:t>−0.36% [−3.17, +2.45] ns</w:t>
            </w:r>
          </w:p>
        </w:tc>
        <w:tc>
          <w:tcPr>
            <w:tcW w:type="dxa" w:w="1728"/>
          </w:tcPr>
          <w:p>
            <w:r>
              <w:t>+0.81% ns</w:t>
            </w:r>
          </w:p>
        </w:tc>
      </w:tr>
      <w:tr>
        <w:tc>
          <w:tcPr>
            <w:tcW w:type="dxa" w:w="1728"/>
          </w:tcPr>
          <w:p>
            <w:r>
              <w:t>10–12</w:t>
            </w:r>
          </w:p>
        </w:tc>
        <w:tc>
          <w:tcPr>
            <w:tcW w:type="dxa" w:w="1728"/>
          </w:tcPr>
          <w:p>
            <w:r>
              <w:t>below control</w:t>
            </w:r>
          </w:p>
        </w:tc>
        <w:tc>
          <w:tcPr>
            <w:tcW w:type="dxa" w:w="1728"/>
          </w:tcPr>
          <w:p>
            <w:r>
              <w:t>v6</w:t>
            </w:r>
          </w:p>
        </w:tc>
        <w:tc>
          <w:tcPr>
            <w:tcW w:type="dxa" w:w="1728"/>
          </w:tcPr>
          <w:p>
            <w:r>
              <w:t>−6.51% [−9.39, −3.64] sig</w:t>
            </w:r>
          </w:p>
        </w:tc>
        <w:tc>
          <w:tcPr>
            <w:tcW w:type="dxa" w:w="1728"/>
          </w:tcPr>
          <w:p>
            <w:r>
              <w:t>+0.19% ns</w:t>
            </w:r>
          </w:p>
        </w:tc>
      </w:tr>
      <w:tr>
        <w:tc>
          <w:tcPr>
            <w:tcW w:type="dxa" w:w="1728"/>
          </w:tcPr>
          <w:p>
            <w:r>
              <w:t>10–12</w:t>
            </w:r>
          </w:p>
        </w:tc>
        <w:tc>
          <w:tcPr>
            <w:tcW w:type="dxa" w:w="1728"/>
          </w:tcPr>
          <w:p>
            <w:r>
              <w:t>at/above control</w:t>
            </w:r>
          </w:p>
        </w:tc>
        <w:tc>
          <w:tcPr>
            <w:tcW w:type="dxa" w:w="1728"/>
          </w:tcPr>
          <w:p>
            <w:r>
              <w:t>v4</w:t>
            </w:r>
          </w:p>
        </w:tc>
        <w:tc>
          <w:tcPr>
            <w:tcW w:type="dxa" w:w="1728"/>
          </w:tcPr>
          <w:p>
            <w:r>
              <w:t>+4.53% [+3.37, +5.69] sig</w:t>
            </w:r>
          </w:p>
        </w:tc>
        <w:tc>
          <w:tcPr>
            <w:tcW w:type="dxa" w:w="1728"/>
          </w:tcPr>
          <w:p>
            <w:r>
              <w:t>+0.23% ns</w:t>
            </w:r>
          </w:p>
        </w:tc>
      </w:tr>
      <w:tr>
        <w:tc>
          <w:tcPr>
            <w:tcW w:type="dxa" w:w="1728"/>
          </w:tcPr>
          <w:p>
            <w:r>
              <w:t>10–12</w:t>
            </w:r>
          </w:p>
        </w:tc>
        <w:tc>
          <w:tcPr>
            <w:tcW w:type="dxa" w:w="1728"/>
          </w:tcPr>
          <w:p>
            <w:r>
              <w:t>at/above control</w:t>
            </w:r>
          </w:p>
        </w:tc>
        <w:tc>
          <w:tcPr>
            <w:tcW w:type="dxa" w:w="1728"/>
          </w:tcPr>
          <w:p>
            <w:r>
              <w:t>v5b</w:t>
            </w:r>
          </w:p>
        </w:tc>
        <w:tc>
          <w:tcPr>
            <w:tcW w:type="dxa" w:w="1728"/>
          </w:tcPr>
          <w:p>
            <w:r>
              <w:t>+5.13% [+4.03, +6.23] sig</w:t>
            </w:r>
          </w:p>
        </w:tc>
        <w:tc>
          <w:tcPr>
            <w:tcW w:type="dxa" w:w="1728"/>
          </w:tcPr>
          <w:p>
            <w:r>
              <w:t>+0.18% ns</w:t>
            </w:r>
          </w:p>
        </w:tc>
      </w:tr>
      <w:tr>
        <w:tc>
          <w:tcPr>
            <w:tcW w:type="dxa" w:w="1728"/>
          </w:tcPr>
          <w:p>
            <w:r>
              <w:t>10–12</w:t>
            </w:r>
          </w:p>
        </w:tc>
        <w:tc>
          <w:tcPr>
            <w:tcW w:type="dxa" w:w="1728"/>
          </w:tcPr>
          <w:p>
            <w:r>
              <w:t>at/above control</w:t>
            </w:r>
          </w:p>
        </w:tc>
        <w:tc>
          <w:tcPr>
            <w:tcW w:type="dxa" w:w="1728"/>
          </w:tcPr>
          <w:p>
            <w:r>
              <w:t>v6</w:t>
            </w:r>
          </w:p>
        </w:tc>
        <w:tc>
          <w:tcPr>
            <w:tcW w:type="dxa" w:w="1728"/>
          </w:tcPr>
          <w:p>
            <w:r>
              <w:t>+6.60% [+5.51, +7.69] sig</w:t>
            </w:r>
          </w:p>
        </w:tc>
        <w:tc>
          <w:tcPr>
            <w:tcW w:type="dxa" w:w="1728"/>
          </w:tcPr>
          <w:p>
            <w:r>
              <w:t>−0.28% ns</w:t>
            </w:r>
          </w:p>
        </w:tc>
      </w:tr>
      <w:tr>
        <w:tc>
          <w:tcPr>
            <w:tcW w:type="dxa" w:w="1728"/>
          </w:tcPr>
          <w:p>
            <w:r>
              <w:t>13+</w:t>
            </w:r>
          </w:p>
        </w:tc>
        <w:tc>
          <w:tcPr>
            <w:tcW w:type="dxa" w:w="1728"/>
          </w:tcPr>
          <w:p>
            <w:r>
              <w:t>below control</w:t>
            </w:r>
          </w:p>
        </w:tc>
        <w:tc>
          <w:tcPr>
            <w:tcW w:type="dxa" w:w="1728"/>
          </w:tcPr>
          <w:p>
            <w:r>
              <w:t>v4</w:t>
            </w:r>
          </w:p>
        </w:tc>
        <w:tc>
          <w:tcPr>
            <w:tcW w:type="dxa" w:w="1728"/>
          </w:tcPr>
          <w:p>
            <w:r>
              <w:t>−3.94% [−4.93, −2.95] sig</w:t>
            </w:r>
          </w:p>
        </w:tc>
        <w:tc>
          <w:tcPr>
            <w:tcW w:type="dxa" w:w="1728"/>
          </w:tcPr>
          <w:p>
            <w:r>
              <w:t>−0.21% ns</w:t>
            </w:r>
          </w:p>
        </w:tc>
      </w:tr>
      <w:tr>
        <w:tc>
          <w:tcPr>
            <w:tcW w:type="dxa" w:w="1728"/>
          </w:tcPr>
          <w:p>
            <w:r>
              <w:t>13+</w:t>
            </w:r>
          </w:p>
        </w:tc>
        <w:tc>
          <w:tcPr>
            <w:tcW w:type="dxa" w:w="1728"/>
          </w:tcPr>
          <w:p>
            <w:r>
              <w:t>below control</w:t>
            </w:r>
          </w:p>
        </w:tc>
        <w:tc>
          <w:tcPr>
            <w:tcW w:type="dxa" w:w="1728"/>
          </w:tcPr>
          <w:p>
            <w:r>
              <w:t>v5b</w:t>
            </w:r>
          </w:p>
        </w:tc>
        <w:tc>
          <w:tcPr>
            <w:tcW w:type="dxa" w:w="1728"/>
          </w:tcPr>
          <w:p>
            <w:r>
              <w:t>−3.32% [−4.41, −2.22] sig</w:t>
            </w:r>
          </w:p>
        </w:tc>
        <w:tc>
          <w:tcPr>
            <w:tcW w:type="dxa" w:w="1728"/>
          </w:tcPr>
          <w:p>
            <w:r>
              <w:t>−1.18% [−2.06, −0.30] sig</w:t>
            </w:r>
          </w:p>
        </w:tc>
      </w:tr>
      <w:tr>
        <w:tc>
          <w:tcPr>
            <w:tcW w:type="dxa" w:w="1728"/>
          </w:tcPr>
          <w:p>
            <w:r>
              <w:t>13+</w:t>
            </w:r>
          </w:p>
        </w:tc>
        <w:tc>
          <w:tcPr>
            <w:tcW w:type="dxa" w:w="1728"/>
          </w:tcPr>
          <w:p>
            <w:r>
              <w:t>below control</w:t>
            </w:r>
          </w:p>
        </w:tc>
        <w:tc>
          <w:tcPr>
            <w:tcW w:type="dxa" w:w="1728"/>
          </w:tcPr>
          <w:p>
            <w:r>
              <w:t>v6</w:t>
            </w:r>
          </w:p>
        </w:tc>
        <w:tc>
          <w:tcPr>
            <w:tcW w:type="dxa" w:w="1728"/>
          </w:tcPr>
          <w:p>
            <w:r>
              <w:t>−2.68% [−3.92, −1.44] sig</w:t>
            </w:r>
          </w:p>
        </w:tc>
        <w:tc>
          <w:tcPr>
            <w:tcW w:type="dxa" w:w="1728"/>
          </w:tcPr>
          <w:p>
            <w:r>
              <w:t>−1.05% [−2.00, −0.10] sig</w:t>
            </w:r>
          </w:p>
        </w:tc>
      </w:tr>
      <w:tr>
        <w:tc>
          <w:tcPr>
            <w:tcW w:type="dxa" w:w="1728"/>
          </w:tcPr>
          <w:p>
            <w:r>
              <w:t>13+</w:t>
            </w:r>
          </w:p>
        </w:tc>
        <w:tc>
          <w:tcPr>
            <w:tcW w:type="dxa" w:w="1728"/>
          </w:tcPr>
          <w:p>
            <w:r>
              <w:t>at/above control</w:t>
            </w:r>
          </w:p>
        </w:tc>
        <w:tc>
          <w:tcPr>
            <w:tcW w:type="dxa" w:w="1728"/>
          </w:tcPr>
          <w:p>
            <w:r>
              <w:t>v4</w:t>
            </w:r>
          </w:p>
        </w:tc>
        <w:tc>
          <w:tcPr>
            <w:tcW w:type="dxa" w:w="1728"/>
          </w:tcPr>
          <w:p>
            <w:r>
              <w:t>+2.74% [+1.42, +4.05] sig</w:t>
            </w:r>
          </w:p>
        </w:tc>
        <w:tc>
          <w:tcPr>
            <w:tcW w:type="dxa" w:w="1728"/>
          </w:tcPr>
          <w:p>
            <w:r>
              <w:t>−0.39% ns</w:t>
            </w:r>
          </w:p>
        </w:tc>
      </w:tr>
      <w:tr>
        <w:tc>
          <w:tcPr>
            <w:tcW w:type="dxa" w:w="1728"/>
          </w:tcPr>
          <w:p>
            <w:r>
              <w:t>13+</w:t>
            </w:r>
          </w:p>
        </w:tc>
        <w:tc>
          <w:tcPr>
            <w:tcW w:type="dxa" w:w="1728"/>
          </w:tcPr>
          <w:p>
            <w:r>
              <w:t>at/above control</w:t>
            </w:r>
          </w:p>
        </w:tc>
        <w:tc>
          <w:tcPr>
            <w:tcW w:type="dxa" w:w="1728"/>
          </w:tcPr>
          <w:p>
            <w:r>
              <w:t>v5b</w:t>
            </w:r>
          </w:p>
        </w:tc>
        <w:tc>
          <w:tcPr>
            <w:tcW w:type="dxa" w:w="1728"/>
          </w:tcPr>
          <w:p>
            <w:r>
              <w:t>+2.85% [+1.68, +4.01] sig</w:t>
            </w:r>
          </w:p>
        </w:tc>
        <w:tc>
          <w:tcPr>
            <w:tcW w:type="dxa" w:w="1728"/>
          </w:tcPr>
          <w:p>
            <w:r>
              <w:t>+0.11% ns</w:t>
            </w:r>
          </w:p>
        </w:tc>
      </w:tr>
      <w:tr>
        <w:tc>
          <w:tcPr>
            <w:tcW w:type="dxa" w:w="1728"/>
          </w:tcPr>
          <w:p>
            <w:r>
              <w:t>13+</w:t>
            </w:r>
          </w:p>
        </w:tc>
        <w:tc>
          <w:tcPr>
            <w:tcW w:type="dxa" w:w="1728"/>
          </w:tcPr>
          <w:p>
            <w:r>
              <w:t>at/above control</w:t>
            </w:r>
          </w:p>
        </w:tc>
        <w:tc>
          <w:tcPr>
            <w:tcW w:type="dxa" w:w="1728"/>
          </w:tcPr>
          <w:p>
            <w:r>
              <w:t>v6</w:t>
            </w:r>
          </w:p>
        </w:tc>
        <w:tc>
          <w:tcPr>
            <w:tcW w:type="dxa" w:w="1728"/>
          </w:tcPr>
          <w:p>
            <w:r>
              <w:t>+2.57% [+1.54, +3.60] sig</w:t>
            </w:r>
          </w:p>
        </w:tc>
        <w:tc>
          <w:tcPr>
            <w:tcW w:type="dxa" w:w="1728"/>
          </w:tcPr>
          <w:p>
            <w:r>
              <w:t>−0.87% [−1.65, −0.09] sig</w:t>
            </w:r>
          </w:p>
        </w:tc>
      </w:tr>
    </w:tbl>
    <w:p/>
    <w:p>
      <w:pPr/>
      <w:r>
        <w:t>This reproduces the v8 and OTT defect on mobile: titles served below control change unbudgeted revenue by −0.4% to −7.2% (the one near-zero cell is v5b 10–12, −0.36% ns), while titles kept at or above control gain +2.6% to +6.6%. TVT gives back a little on 13+ titles (v5b below −1.18% sig, v6 below −1.05% sig, v6 at/above −0.87% sig) and is flat elsewhere. A per-title floor (never serve fewer cue points than ABF2) helps mobile as much as OTT.</w:t>
      </w:r>
    </w:p>
    <w:p>
      <w:pPr>
        <w:pStyle w:val="Heading2"/>
      </w:pPr>
      <w:r>
        <w:t>2c. Movies versus episodes</w:t>
      </w:r>
    </w:p>
    <w:p>
      <w:pPr/>
      <w:r>
        <w:t>Device-level raw Welch, unbudgeted revenue/impressions, among devices who watched a treated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+0.32% [−0.45, +1.10] ns</w:t>
            </w:r>
          </w:p>
        </w:tc>
        <w:tc>
          <w:tcPr>
            <w:tcW w:type="dxa" w:w="1440"/>
          </w:tcPr>
          <w:p>
            <w:r>
              <w:t>−0.10% ns</w:t>
            </w:r>
          </w:p>
        </w:tc>
        <w:tc>
          <w:tcPr>
            <w:tcW w:type="dxa" w:w="1440"/>
          </w:tcPr>
          <w:p>
            <w:r>
              <w:t>+0.46% ns</w:t>
            </w:r>
          </w:p>
        </w:tc>
        <w:tc>
          <w:tcPr>
            <w:tcW w:type="dxa" w:w="1440"/>
          </w:tcPr>
          <w:p>
            <w:r>
              <w:t>1,101,303</w:t>
            </w:r>
          </w:p>
        </w:tc>
      </w:tr>
      <w:tr>
        <w:tc>
          <w:tcPr>
            <w:tcW w:type="dxa" w:w="1440"/>
          </w:tcPr>
          <w:p>
            <w:r>
              <w:t>Movie</w:t>
            </w:r>
          </w:p>
        </w:tc>
        <w:tc>
          <w:tcPr>
            <w:tcW w:type="dxa" w:w="1440"/>
          </w:tcPr>
          <w:p>
            <w:r>
              <w:t>v5b</w:t>
            </w:r>
          </w:p>
        </w:tc>
        <w:tc>
          <w:tcPr>
            <w:tcW w:type="dxa" w:w="1440"/>
          </w:tcPr>
          <w:p>
            <w:r>
              <w:t>+1.69% [+0.91, +2.46] sig</w:t>
            </w:r>
          </w:p>
        </w:tc>
        <w:tc>
          <w:tcPr>
            <w:tcW w:type="dxa" w:w="1440"/>
          </w:tcPr>
          <w:p>
            <w:r>
              <w:t>−0.52% ns</w:t>
            </w:r>
          </w:p>
        </w:tc>
        <w:tc>
          <w:tcPr>
            <w:tcW w:type="dxa" w:w="1440"/>
          </w:tcPr>
          <w:p>
            <w:r>
              <w:t>+1.58% sig</w:t>
            </w:r>
          </w:p>
        </w:tc>
        <w:tc>
          <w:tcPr>
            <w:tcW w:type="dxa" w:w="1440"/>
          </w:tcPr>
          <w:p>
            <w:r>
              <w:t>1,100,253</w:t>
            </w:r>
          </w:p>
        </w:tc>
      </w:tr>
      <w:tr>
        <w:tc>
          <w:tcPr>
            <w:tcW w:type="dxa" w:w="1440"/>
          </w:tcPr>
          <w:p>
            <w:r>
              <w:t>Movie</w:t>
            </w:r>
          </w:p>
        </w:tc>
        <w:tc>
          <w:tcPr>
            <w:tcW w:type="dxa" w:w="1440"/>
          </w:tcPr>
          <w:p>
            <w:r>
              <w:t>v6</w:t>
            </w:r>
          </w:p>
        </w:tc>
        <w:tc>
          <w:tcPr>
            <w:tcW w:type="dxa" w:w="1440"/>
          </w:tcPr>
          <w:p>
            <w:r>
              <w:t>+2.79% [+2.00, +3.57] sig</w:t>
            </w:r>
          </w:p>
        </w:tc>
        <w:tc>
          <w:tcPr>
            <w:tcW w:type="dxa" w:w="1440"/>
          </w:tcPr>
          <w:p>
            <w:r>
              <w:t>−0.60% ns</w:t>
            </w:r>
          </w:p>
        </w:tc>
        <w:tc>
          <w:tcPr>
            <w:tcW w:type="dxa" w:w="1440"/>
          </w:tcPr>
          <w:p>
            <w:r>
              <w:t>+2.71% sig</w:t>
            </w:r>
          </w:p>
        </w:tc>
        <w:tc>
          <w:tcPr>
            <w:tcW w:type="dxa" w:w="1440"/>
          </w:tcPr>
          <w:p>
            <w:r>
              <w:t>1,102,229</w:t>
            </w:r>
          </w:p>
        </w:tc>
      </w:tr>
      <w:tr>
        <w:tc>
          <w:tcPr>
            <w:tcW w:type="dxa" w:w="1440"/>
          </w:tcPr>
          <w:p>
            <w:r>
              <w:t>Episode</w:t>
            </w:r>
          </w:p>
        </w:tc>
        <w:tc>
          <w:tcPr>
            <w:tcW w:type="dxa" w:w="1440"/>
          </w:tcPr>
          <w:p>
            <w:r>
              <w:t>v4</w:t>
            </w:r>
          </w:p>
        </w:tc>
        <w:tc>
          <w:tcPr>
            <w:tcW w:type="dxa" w:w="1440"/>
          </w:tcPr>
          <w:p>
            <w:r>
              <w:t>−4.84% [−5.99, −3.69] sig</w:t>
            </w:r>
          </w:p>
        </w:tc>
        <w:tc>
          <w:tcPr>
            <w:tcW w:type="dxa" w:w="1440"/>
          </w:tcPr>
          <w:p>
            <w:r>
              <w:t>+0.44% ns</w:t>
            </w:r>
          </w:p>
        </w:tc>
        <w:tc>
          <w:tcPr>
            <w:tcW w:type="dxa" w:w="1440"/>
          </w:tcPr>
          <w:p>
            <w:r>
              <w:t>−5.20% sig</w:t>
            </w:r>
          </w:p>
        </w:tc>
        <w:tc>
          <w:tcPr>
            <w:tcW w:type="dxa" w:w="1440"/>
          </w:tcPr>
          <w:p>
            <w:r>
              <w:t>674,961</w:t>
            </w:r>
          </w:p>
        </w:tc>
      </w:tr>
      <w:tr>
        <w:tc>
          <w:tcPr>
            <w:tcW w:type="dxa" w:w="1440"/>
          </w:tcPr>
          <w:p>
            <w:r>
              <w:t>Episode</w:t>
            </w:r>
          </w:p>
        </w:tc>
        <w:tc>
          <w:tcPr>
            <w:tcW w:type="dxa" w:w="1440"/>
          </w:tcPr>
          <w:p>
            <w:r>
              <w:t>v5b</w:t>
            </w:r>
          </w:p>
        </w:tc>
        <w:tc>
          <w:tcPr>
            <w:tcW w:type="dxa" w:w="1440"/>
          </w:tcPr>
          <w:p>
            <w:r>
              <w:t>+2.17% [+0.99, +3.35] sig</w:t>
            </w:r>
          </w:p>
        </w:tc>
        <w:tc>
          <w:tcPr>
            <w:tcW w:type="dxa" w:w="1440"/>
          </w:tcPr>
          <w:p>
            <w:r>
              <w:t>−0.23% ns</w:t>
            </w:r>
          </w:p>
        </w:tc>
        <w:tc>
          <w:tcPr>
            <w:tcW w:type="dxa" w:w="1440"/>
          </w:tcPr>
          <w:p>
            <w:r>
              <w:t>+2.26% sig</w:t>
            </w:r>
          </w:p>
        </w:tc>
        <w:tc>
          <w:tcPr>
            <w:tcW w:type="dxa" w:w="1440"/>
          </w:tcPr>
          <w:p>
            <w:r>
              <w:t>674,223</w:t>
            </w:r>
          </w:p>
        </w:tc>
      </w:tr>
      <w:tr>
        <w:tc>
          <w:tcPr>
            <w:tcW w:type="dxa" w:w="1440"/>
          </w:tcPr>
          <w:p>
            <w:r>
              <w:t>Episode</w:t>
            </w:r>
          </w:p>
        </w:tc>
        <w:tc>
          <w:tcPr>
            <w:tcW w:type="dxa" w:w="1440"/>
          </w:tcPr>
          <w:p>
            <w:r>
              <w:t>v6</w:t>
            </w:r>
          </w:p>
        </w:tc>
        <w:tc>
          <w:tcPr>
            <w:tcW w:type="dxa" w:w="1440"/>
          </w:tcPr>
          <w:p>
            <w:r>
              <w:t>−5.73% [−6.87, −4.58] sig</w:t>
            </w:r>
          </w:p>
        </w:tc>
        <w:tc>
          <w:tcPr>
            <w:tcW w:type="dxa" w:w="1440"/>
          </w:tcPr>
          <w:p>
            <w:r>
              <w:t>−0.29% ns</w:t>
            </w:r>
          </w:p>
        </w:tc>
        <w:tc>
          <w:tcPr>
            <w:tcW w:type="dxa" w:w="1440"/>
          </w:tcPr>
          <w:p>
            <w:r>
              <w:t>−5.99% sig</w:t>
            </w:r>
          </w:p>
        </w:tc>
        <w:tc>
          <w:tcPr>
            <w:tcW w:type="dxa" w:w="1440"/>
          </w:tcPr>
          <w:p>
            <w:r>
              <w:t>676,807</w:t>
            </w:r>
          </w:p>
        </w:tc>
      </w:tr>
    </w:tbl>
    <w:p/>
    <w:p>
      <w:pPr/>
      <w:r>
        <w:t>Control n: movies 1,102,078 · episodes 675,078. Episodes split the arms: v5b +2.17% sig, v4 −4.84% sig, v6 −5.73% sig. On OTT v4 and v6 also lose on episodes (−1.06% sig, −1.48% sig) and v5b is −0.33% ns; on mobile v5b gains. Movies gain on v6 and v5b; v4 is +0.32% ns. TVT is not significant for any arm or type.</w:t>
      </w:r>
    </w:p>
    <w:p>
      <w:pPr/>
      <w:r>
        <w:rPr>
          <w:b/>
        </w:rPr>
        <w:t>Placement — first-cue timing from the served lists.</w:t>
      </w:r>
      <w:r>
        <w:t xml:space="preserve"> Average first cue point (title-level, served lists — the same catalog-level lists serve every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v5b</w:t>
            </w:r>
          </w:p>
        </w:tc>
        <w:tc>
          <w:tcPr>
            <w:tcW w:type="dxa" w:w="2880"/>
          </w:tcPr>
          <w:p>
            <w:r>
              <w:t>~206s (3.4 min)</w:t>
            </w:r>
          </w:p>
        </w:tc>
        <w:tc>
          <w:tcPr>
            <w:tcW w:type="dxa" w:w="2880"/>
          </w:tcPr>
          <w:p>
            <w:r>
              <w:t>~269s (4.5 min)</w:t>
            </w:r>
          </w:p>
        </w:tc>
      </w:tr>
      <w:tr>
        <w:tc>
          <w:tcPr>
            <w:tcW w:type="dxa" w:w="2880"/>
          </w:tcPr>
          <w:p>
            <w:r>
              <w:t>v6</w:t>
            </w:r>
          </w:p>
        </w:tc>
        <w:tc>
          <w:tcPr>
            <w:tcW w:type="dxa" w:w="2880"/>
          </w:tcPr>
          <w:p>
            <w:r>
              <w:t>~582s (9.7 min)</w:t>
            </w:r>
          </w:p>
        </w:tc>
        <w:tc>
          <w:tcPr>
            <w:tcW w:type="dxa" w:w="2880"/>
          </w:tcPr>
          <w:p>
            <w:r>
              <w:t>~532s (8.9 min)</w:t>
            </w:r>
          </w:p>
        </w:tc>
      </w:tr>
    </w:tbl>
    <w:p/>
    <w:p>
      <w:pPr/>
      <w:r>
        <w:rPr>
          <w:b/>
        </w:rPr>
        <w:t>Gate replay — fireable breaks from the served positions.</w:t>
      </w:r>
      <w:r>
        <w:t xml:space="preserve"> Replay the pod gate (greedy first-eligible) over the ABF2 and served positions, weighted by each title's in-window mobile TVT. The mobile ad config is not in the project files, so two gate profiles are shown: A = OTT base gates, and B = the most tolerant OTT ladder step. Observed mobile midrolls start earlier than OTT (median first episode break ~508s vs ~652s on OTT, measured on a 2026-10-12/13 sample), so B is the closer approximation. Profile B also fits the measured per-band impression lifts better (r = 0.44 vs 0.37 across the 15 arm×band cells).</w:t>
      </w:r>
    </w:p>
    <w:p>
      <w:pPr/>
      <w:r>
        <w:t>Profile A — OTT base gates (episodes 420s initial / 600s spacing, movies 900s / 720s).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+135.6%</w:t>
            </w:r>
          </w:p>
        </w:tc>
        <w:tc>
          <w:tcPr>
            <w:tcW w:type="dxa" w:w="1728"/>
          </w:tcPr>
          <w:p>
            <w:r>
              <w:t>+122.2%</w:t>
            </w:r>
          </w:p>
        </w:tc>
        <w:tc>
          <w:tcPr>
            <w:tcW w:type="dxa" w:w="1728"/>
          </w:tcPr>
          <w:p>
            <w:r>
              <w:t>+100.9%</w:t>
            </w:r>
          </w:p>
        </w:tc>
      </w:tr>
      <w:tr>
        <w:tc>
          <w:tcPr>
            <w:tcW w:type="dxa" w:w="1728"/>
          </w:tcPr>
          <w:p>
            <w:r>
              <w:t>Movie</w:t>
            </w:r>
          </w:p>
        </w:tc>
        <w:tc>
          <w:tcPr>
            <w:tcW w:type="dxa" w:w="1728"/>
          </w:tcPr>
          <w:p>
            <w:r>
              <w:t>4–6</w:t>
            </w:r>
          </w:p>
        </w:tc>
        <w:tc>
          <w:tcPr>
            <w:tcW w:type="dxa" w:w="1728"/>
          </w:tcPr>
          <w:p>
            <w:r>
              <w:t>+33.5%</w:t>
            </w:r>
          </w:p>
        </w:tc>
        <w:tc>
          <w:tcPr>
            <w:tcW w:type="dxa" w:w="1728"/>
          </w:tcPr>
          <w:p>
            <w:r>
              <w:t>+22.9%</w:t>
            </w:r>
          </w:p>
        </w:tc>
        <w:tc>
          <w:tcPr>
            <w:tcW w:type="dxa" w:w="1728"/>
          </w:tcPr>
          <w:p>
            <w:r>
              <w:t>+35.6%</w:t>
            </w:r>
          </w:p>
        </w:tc>
      </w:tr>
      <w:tr>
        <w:tc>
          <w:tcPr>
            <w:tcW w:type="dxa" w:w="1728"/>
          </w:tcPr>
          <w:p>
            <w:r>
              <w:t>Movie</w:t>
            </w:r>
          </w:p>
        </w:tc>
        <w:tc>
          <w:tcPr>
            <w:tcW w:type="dxa" w:w="1728"/>
          </w:tcPr>
          <w:p>
            <w:r>
              <w:t>7–9</w:t>
            </w:r>
          </w:p>
        </w:tc>
        <w:tc>
          <w:tcPr>
            <w:tcW w:type="dxa" w:w="1728"/>
          </w:tcPr>
          <w:p>
            <w:r>
              <w:t>+10.2%</w:t>
            </w:r>
          </w:p>
        </w:tc>
        <w:tc>
          <w:tcPr>
            <w:tcW w:type="dxa" w:w="1728"/>
          </w:tcPr>
          <w:p>
            <w:r>
              <w:t>+15.2%</w:t>
            </w:r>
          </w:p>
        </w:tc>
        <w:tc>
          <w:tcPr>
            <w:tcW w:type="dxa" w:w="1728"/>
          </w:tcPr>
          <w:p>
            <w:r>
              <w:t>+15.4%</w:t>
            </w:r>
          </w:p>
        </w:tc>
      </w:tr>
      <w:tr>
        <w:tc>
          <w:tcPr>
            <w:tcW w:type="dxa" w:w="1728"/>
          </w:tcPr>
          <w:p>
            <w:r>
              <w:t>Movie</w:t>
            </w:r>
          </w:p>
        </w:tc>
        <w:tc>
          <w:tcPr>
            <w:tcW w:type="dxa" w:w="1728"/>
          </w:tcPr>
          <w:p>
            <w:r>
              <w:t>10–12</w:t>
            </w:r>
          </w:p>
        </w:tc>
        <w:tc>
          <w:tcPr>
            <w:tcW w:type="dxa" w:w="1728"/>
          </w:tcPr>
          <w:p>
            <w:r>
              <w:t>+3.0%</w:t>
            </w:r>
          </w:p>
        </w:tc>
        <w:tc>
          <w:tcPr>
            <w:tcW w:type="dxa" w:w="1728"/>
          </w:tcPr>
          <w:p>
            <w:r>
              <w:t>+7.6%</w:t>
            </w:r>
          </w:p>
        </w:tc>
        <w:tc>
          <w:tcPr>
            <w:tcW w:type="dxa" w:w="1728"/>
          </w:tcPr>
          <w:p>
            <w:r>
              <w:t>+7.8%</w:t>
            </w:r>
          </w:p>
        </w:tc>
      </w:tr>
      <w:tr>
        <w:tc>
          <w:tcPr>
            <w:tcW w:type="dxa" w:w="1728"/>
          </w:tcPr>
          <w:p>
            <w:r>
              <w:t>Movie</w:t>
            </w:r>
          </w:p>
        </w:tc>
        <w:tc>
          <w:tcPr>
            <w:tcW w:type="dxa" w:w="1728"/>
          </w:tcPr>
          <w:p>
            <w:r>
              <w:t>13+</w:t>
            </w:r>
          </w:p>
        </w:tc>
        <w:tc>
          <w:tcPr>
            <w:tcW w:type="dxa" w:w="1728"/>
          </w:tcPr>
          <w:p>
            <w:r>
              <w:t>−4.4%</w:t>
            </w:r>
          </w:p>
        </w:tc>
        <w:tc>
          <w:tcPr>
            <w:tcW w:type="dxa" w:w="1728"/>
          </w:tcPr>
          <w:p>
            <w:r>
              <w:t>−1.5%</w:t>
            </w:r>
          </w:p>
        </w:tc>
        <w:tc>
          <w:tcPr>
            <w:tcW w:type="dxa" w:w="1728"/>
          </w:tcPr>
          <w:p>
            <w:r>
              <w:t>−0.6%</w:t>
            </w:r>
          </w:p>
        </w:tc>
      </w:tr>
      <w:tr>
        <w:tc>
          <w:tcPr>
            <w:tcW w:type="dxa" w:w="1728"/>
          </w:tcPr>
          <w:p>
            <w:r>
              <w:t>Episode</w:t>
            </w:r>
          </w:p>
        </w:tc>
        <w:tc>
          <w:tcPr>
            <w:tcW w:type="dxa" w:w="1728"/>
          </w:tcPr>
          <w:p>
            <w:r>
              <w:t>1–3</w:t>
            </w:r>
          </w:p>
        </w:tc>
        <w:tc>
          <w:tcPr>
            <w:tcW w:type="dxa" w:w="1728"/>
          </w:tcPr>
          <w:p>
            <w:r>
              <w:t>+5.4%</w:t>
            </w:r>
          </w:p>
        </w:tc>
        <w:tc>
          <w:tcPr>
            <w:tcW w:type="dxa" w:w="1728"/>
          </w:tcPr>
          <w:p>
            <w:r>
              <w:t>+10.2%</w:t>
            </w:r>
          </w:p>
        </w:tc>
        <w:tc>
          <w:tcPr>
            <w:tcW w:type="dxa" w:w="1728"/>
          </w:tcPr>
          <w:p>
            <w:r>
              <w:t>+5.2%</w:t>
            </w:r>
          </w:p>
        </w:tc>
      </w:tr>
      <w:tr>
        <w:tc>
          <w:tcPr>
            <w:tcW w:type="dxa" w:w="1728"/>
          </w:tcPr>
          <w:p>
            <w:r>
              <w:t>Episode</w:t>
            </w:r>
          </w:p>
        </w:tc>
        <w:tc>
          <w:tcPr>
            <w:tcW w:type="dxa" w:w="1728"/>
          </w:tcPr>
          <w:p>
            <w:r>
              <w:t>4–6</w:t>
            </w:r>
          </w:p>
        </w:tc>
        <w:tc>
          <w:tcPr>
            <w:tcW w:type="dxa" w:w="1728"/>
          </w:tcPr>
          <w:p>
            <w:r>
              <w:t>+1.1%</w:t>
            </w:r>
          </w:p>
        </w:tc>
        <w:tc>
          <w:tcPr>
            <w:tcW w:type="dxa" w:w="1728"/>
          </w:tcPr>
          <w:p>
            <w:r>
              <w:t>+6.7%</w:t>
            </w:r>
          </w:p>
        </w:tc>
        <w:tc>
          <w:tcPr>
            <w:tcW w:type="dxa" w:w="1728"/>
          </w:tcPr>
          <w:p>
            <w:r>
              <w:t>+1.2%</w:t>
            </w:r>
          </w:p>
        </w:tc>
      </w:tr>
      <w:tr>
        <w:tc>
          <w:tcPr>
            <w:tcW w:type="dxa" w:w="1728"/>
          </w:tcPr>
          <w:p>
            <w:r>
              <w:t>Episode</w:t>
            </w:r>
          </w:p>
        </w:tc>
        <w:tc>
          <w:tcPr>
            <w:tcW w:type="dxa" w:w="1728"/>
          </w:tcPr>
          <w:p>
            <w:r>
              <w:t>7–9</w:t>
            </w:r>
          </w:p>
        </w:tc>
        <w:tc>
          <w:tcPr>
            <w:tcW w:type="dxa" w:w="1728"/>
          </w:tcPr>
          <w:p>
            <w:r>
              <w:t>−3.9%</w:t>
            </w:r>
          </w:p>
        </w:tc>
        <w:tc>
          <w:tcPr>
            <w:tcW w:type="dxa" w:w="1728"/>
          </w:tcPr>
          <w:p>
            <w:r>
              <w:t>−0.5%</w:t>
            </w:r>
          </w:p>
        </w:tc>
        <w:tc>
          <w:tcPr>
            <w:tcW w:type="dxa" w:w="1728"/>
          </w:tcPr>
          <w:p>
            <w:r>
              <w:t>−4.1%</w:t>
            </w:r>
          </w:p>
        </w:tc>
      </w:tr>
      <w:tr>
        <w:tc>
          <w:tcPr>
            <w:tcW w:type="dxa" w:w="1728"/>
          </w:tcPr>
          <w:p>
            <w:r>
              <w:t>Episode</w:t>
            </w:r>
          </w:p>
        </w:tc>
        <w:tc>
          <w:tcPr>
            <w:tcW w:type="dxa" w:w="1728"/>
          </w:tcPr>
          <w:p>
            <w:r>
              <w:t>10–12</w:t>
            </w:r>
          </w:p>
        </w:tc>
        <w:tc>
          <w:tcPr>
            <w:tcW w:type="dxa" w:w="1728"/>
          </w:tcPr>
          <w:p>
            <w:r>
              <w:t>−4.1%</w:t>
            </w:r>
          </w:p>
        </w:tc>
        <w:tc>
          <w:tcPr>
            <w:tcW w:type="dxa" w:w="1728"/>
          </w:tcPr>
          <w:p>
            <w:r>
              <w:t>−2.8%</w:t>
            </w:r>
          </w:p>
        </w:tc>
        <w:tc>
          <w:tcPr>
            <w:tcW w:type="dxa" w:w="1728"/>
          </w:tcPr>
          <w:p>
            <w:r>
              <w:t>−4.2%</w:t>
            </w:r>
          </w:p>
        </w:tc>
      </w:tr>
      <w:tr>
        <w:tc>
          <w:tcPr>
            <w:tcW w:type="dxa" w:w="1728"/>
          </w:tcPr>
          <w:p>
            <w:r>
              <w:t>Episode</w:t>
            </w:r>
          </w:p>
        </w:tc>
        <w:tc>
          <w:tcPr>
            <w:tcW w:type="dxa" w:w="1728"/>
          </w:tcPr>
          <w:p>
            <w:r>
              <w:t>13+</w:t>
            </w:r>
          </w:p>
        </w:tc>
        <w:tc>
          <w:tcPr>
            <w:tcW w:type="dxa" w:w="1728"/>
          </w:tcPr>
          <w:p>
            <w:r>
              <w:t>−7.8%</w:t>
            </w:r>
          </w:p>
        </w:tc>
        <w:tc>
          <w:tcPr>
            <w:tcW w:type="dxa" w:w="1728"/>
          </w:tcPr>
          <w:p>
            <w:r>
              <w:t>−10.3%</w:t>
            </w:r>
          </w:p>
        </w:tc>
        <w:tc>
          <w:tcPr>
            <w:tcW w:type="dxa" w:w="1728"/>
          </w:tcPr>
          <w:p>
            <w:r>
              <w:t>−8.0%</w:t>
            </w:r>
          </w:p>
        </w:tc>
      </w:tr>
    </w:tbl>
    <w:p/>
    <w:p>
      <w:pPr/>
      <w:r>
        <w:t>Profile B — tolerant gates (episodes 360s / 360s, movies 540s / 420s), closer to the earlier break starts observed on this platform: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+12.8%</w:t>
            </w:r>
          </w:p>
        </w:tc>
        <w:tc>
          <w:tcPr>
            <w:tcW w:type="dxa" w:w="1728"/>
          </w:tcPr>
          <w:p>
            <w:r>
              <w:t>+46.1%</w:t>
            </w:r>
          </w:p>
        </w:tc>
        <w:tc>
          <w:tcPr>
            <w:tcW w:type="dxa" w:w="1728"/>
          </w:tcPr>
          <w:p>
            <w:r>
              <w:t>+10.8%</w:t>
            </w:r>
          </w:p>
        </w:tc>
      </w:tr>
      <w:tr>
        <w:tc>
          <w:tcPr>
            <w:tcW w:type="dxa" w:w="1728"/>
          </w:tcPr>
          <w:p>
            <w:r>
              <w:t>Movie</w:t>
            </w:r>
          </w:p>
        </w:tc>
        <w:tc>
          <w:tcPr>
            <w:tcW w:type="dxa" w:w="1728"/>
          </w:tcPr>
          <w:p>
            <w:r>
              <w:t>4–6</w:t>
            </w:r>
          </w:p>
        </w:tc>
        <w:tc>
          <w:tcPr>
            <w:tcW w:type="dxa" w:w="1728"/>
          </w:tcPr>
          <w:p>
            <w:r>
              <w:t>+23.1%</w:t>
            </w:r>
          </w:p>
        </w:tc>
        <w:tc>
          <w:tcPr>
            <w:tcW w:type="dxa" w:w="1728"/>
          </w:tcPr>
          <w:p>
            <w:r>
              <w:t>+27.6%</w:t>
            </w:r>
          </w:p>
        </w:tc>
        <w:tc>
          <w:tcPr>
            <w:tcW w:type="dxa" w:w="1728"/>
          </w:tcPr>
          <w:p>
            <w:r>
              <w:t>+24.9%</w:t>
            </w:r>
          </w:p>
        </w:tc>
      </w:tr>
      <w:tr>
        <w:tc>
          <w:tcPr>
            <w:tcW w:type="dxa" w:w="1728"/>
          </w:tcPr>
          <w:p>
            <w:r>
              <w:t>Movie</w:t>
            </w:r>
          </w:p>
        </w:tc>
        <w:tc>
          <w:tcPr>
            <w:tcW w:type="dxa" w:w="1728"/>
          </w:tcPr>
          <w:p>
            <w:r>
              <w:t>7–9</w:t>
            </w:r>
          </w:p>
        </w:tc>
        <w:tc>
          <w:tcPr>
            <w:tcW w:type="dxa" w:w="1728"/>
          </w:tcPr>
          <w:p>
            <w:r>
              <w:t>+3.1%</w:t>
            </w:r>
          </w:p>
        </w:tc>
        <w:tc>
          <w:tcPr>
            <w:tcW w:type="dxa" w:w="1728"/>
          </w:tcPr>
          <w:p>
            <w:r>
              <w:t>+10.6%</w:t>
            </w:r>
          </w:p>
        </w:tc>
        <w:tc>
          <w:tcPr>
            <w:tcW w:type="dxa" w:w="1728"/>
          </w:tcPr>
          <w:p>
            <w:r>
              <w:t>+10.5%</w:t>
            </w:r>
          </w:p>
        </w:tc>
      </w:tr>
      <w:tr>
        <w:tc>
          <w:tcPr>
            <w:tcW w:type="dxa" w:w="1728"/>
          </w:tcPr>
          <w:p>
            <w:r>
              <w:t>Movie</w:t>
            </w:r>
          </w:p>
        </w:tc>
        <w:tc>
          <w:tcPr>
            <w:tcW w:type="dxa" w:w="1728"/>
          </w:tcPr>
          <w:p>
            <w:r>
              <w:t>10–12</w:t>
            </w:r>
          </w:p>
        </w:tc>
        <w:tc>
          <w:tcPr>
            <w:tcW w:type="dxa" w:w="1728"/>
          </w:tcPr>
          <w:p>
            <w:r>
              <w:t>−0.6%</w:t>
            </w:r>
          </w:p>
        </w:tc>
        <w:tc>
          <w:tcPr>
            <w:tcW w:type="dxa" w:w="1728"/>
          </w:tcPr>
          <w:p>
            <w:r>
              <w:t>+3.3%</w:t>
            </w:r>
          </w:p>
        </w:tc>
        <w:tc>
          <w:tcPr>
            <w:tcW w:type="dxa" w:w="1728"/>
          </w:tcPr>
          <w:p>
            <w:r>
              <w:t>+5.8%</w:t>
            </w:r>
          </w:p>
        </w:tc>
      </w:tr>
      <w:tr>
        <w:tc>
          <w:tcPr>
            <w:tcW w:type="dxa" w:w="1728"/>
          </w:tcPr>
          <w:p>
            <w:r>
              <w:t>Movie</w:t>
            </w:r>
          </w:p>
        </w:tc>
        <w:tc>
          <w:tcPr>
            <w:tcW w:type="dxa" w:w="1728"/>
          </w:tcPr>
          <w:p>
            <w:r>
              <w:t>13+</w:t>
            </w:r>
          </w:p>
        </w:tc>
        <w:tc>
          <w:tcPr>
            <w:tcW w:type="dxa" w:w="1728"/>
          </w:tcPr>
          <w:p>
            <w:r>
              <w:t>−5.2%</w:t>
            </w:r>
          </w:p>
        </w:tc>
        <w:tc>
          <w:tcPr>
            <w:tcW w:type="dxa" w:w="1728"/>
          </w:tcPr>
          <w:p>
            <w:r>
              <w:t>−1.8%</w:t>
            </w:r>
          </w:p>
        </w:tc>
        <w:tc>
          <w:tcPr>
            <w:tcW w:type="dxa" w:w="1728"/>
          </w:tcPr>
          <w:p>
            <w:r>
              <w:t>+0.2%</w:t>
            </w:r>
          </w:p>
        </w:tc>
      </w:tr>
      <w:tr>
        <w:tc>
          <w:tcPr>
            <w:tcW w:type="dxa" w:w="1728"/>
          </w:tcPr>
          <w:p>
            <w:r>
              <w:t>Episode</w:t>
            </w:r>
          </w:p>
        </w:tc>
        <w:tc>
          <w:tcPr>
            <w:tcW w:type="dxa" w:w="1728"/>
          </w:tcPr>
          <w:p>
            <w:r>
              <w:t>1–3</w:t>
            </w:r>
          </w:p>
        </w:tc>
        <w:tc>
          <w:tcPr>
            <w:tcW w:type="dxa" w:w="1728"/>
          </w:tcPr>
          <w:p>
            <w:r>
              <w:t>+4.3%</w:t>
            </w:r>
          </w:p>
        </w:tc>
        <w:tc>
          <w:tcPr>
            <w:tcW w:type="dxa" w:w="1728"/>
          </w:tcPr>
          <w:p>
            <w:r>
              <w:t>+20.4%</w:t>
            </w:r>
          </w:p>
        </w:tc>
        <w:tc>
          <w:tcPr>
            <w:tcW w:type="dxa" w:w="1728"/>
          </w:tcPr>
          <w:p>
            <w:r>
              <w:t>+4.2%</w:t>
            </w:r>
          </w:p>
        </w:tc>
      </w:tr>
      <w:tr>
        <w:tc>
          <w:tcPr>
            <w:tcW w:type="dxa" w:w="1728"/>
          </w:tcPr>
          <w:p>
            <w:r>
              <w:t>Episode</w:t>
            </w:r>
          </w:p>
        </w:tc>
        <w:tc>
          <w:tcPr>
            <w:tcW w:type="dxa" w:w="1728"/>
          </w:tcPr>
          <w:p>
            <w:r>
              <w:t>4–6</w:t>
            </w:r>
          </w:p>
        </w:tc>
        <w:tc>
          <w:tcPr>
            <w:tcW w:type="dxa" w:w="1728"/>
          </w:tcPr>
          <w:p>
            <w:r>
              <w:t>−1.8%</w:t>
            </w:r>
          </w:p>
        </w:tc>
        <w:tc>
          <w:tcPr>
            <w:tcW w:type="dxa" w:w="1728"/>
          </w:tcPr>
          <w:p>
            <w:r>
              <w:t>+11.8%</w:t>
            </w:r>
          </w:p>
        </w:tc>
        <w:tc>
          <w:tcPr>
            <w:tcW w:type="dxa" w:w="1728"/>
          </w:tcPr>
          <w:p>
            <w:r>
              <w:t>−1.8%</w:t>
            </w:r>
          </w:p>
        </w:tc>
      </w:tr>
      <w:tr>
        <w:tc>
          <w:tcPr>
            <w:tcW w:type="dxa" w:w="1728"/>
          </w:tcPr>
          <w:p>
            <w:r>
              <w:t>Episode</w:t>
            </w:r>
          </w:p>
        </w:tc>
        <w:tc>
          <w:tcPr>
            <w:tcW w:type="dxa" w:w="1728"/>
          </w:tcPr>
          <w:p>
            <w:r>
              <w:t>7–9</w:t>
            </w:r>
          </w:p>
        </w:tc>
        <w:tc>
          <w:tcPr>
            <w:tcW w:type="dxa" w:w="1728"/>
          </w:tcPr>
          <w:p>
            <w:r>
              <w:t>−2.4%</w:t>
            </w:r>
          </w:p>
        </w:tc>
        <w:tc>
          <w:tcPr>
            <w:tcW w:type="dxa" w:w="1728"/>
          </w:tcPr>
          <w:p>
            <w:r>
              <w:t>+11.1%</w:t>
            </w:r>
          </w:p>
        </w:tc>
        <w:tc>
          <w:tcPr>
            <w:tcW w:type="dxa" w:w="1728"/>
          </w:tcPr>
          <w:p>
            <w:r>
              <w:t>−2.5%</w:t>
            </w:r>
          </w:p>
        </w:tc>
      </w:tr>
      <w:tr>
        <w:tc>
          <w:tcPr>
            <w:tcW w:type="dxa" w:w="1728"/>
          </w:tcPr>
          <w:p>
            <w:r>
              <w:t>Episode</w:t>
            </w:r>
          </w:p>
        </w:tc>
        <w:tc>
          <w:tcPr>
            <w:tcW w:type="dxa" w:w="1728"/>
          </w:tcPr>
          <w:p>
            <w:r>
              <w:t>10–12</w:t>
            </w:r>
          </w:p>
        </w:tc>
        <w:tc>
          <w:tcPr>
            <w:tcW w:type="dxa" w:w="1728"/>
          </w:tcPr>
          <w:p>
            <w:r>
              <w:t>−3.9%</w:t>
            </w:r>
          </w:p>
        </w:tc>
        <w:tc>
          <w:tcPr>
            <w:tcW w:type="dxa" w:w="1728"/>
          </w:tcPr>
          <w:p>
            <w:r>
              <w:t>+4.9%</w:t>
            </w:r>
          </w:p>
        </w:tc>
        <w:tc>
          <w:tcPr>
            <w:tcW w:type="dxa" w:w="1728"/>
          </w:tcPr>
          <w:p>
            <w:r>
              <w:t>−3.9%</w:t>
            </w:r>
          </w:p>
        </w:tc>
      </w:tr>
      <w:tr>
        <w:tc>
          <w:tcPr>
            <w:tcW w:type="dxa" w:w="1728"/>
          </w:tcPr>
          <w:p>
            <w:r>
              <w:t>Episode</w:t>
            </w:r>
          </w:p>
        </w:tc>
        <w:tc>
          <w:tcPr>
            <w:tcW w:type="dxa" w:w="1728"/>
          </w:tcPr>
          <w:p>
            <w:r>
              <w:t>13+</w:t>
            </w:r>
          </w:p>
        </w:tc>
        <w:tc>
          <w:tcPr>
            <w:tcW w:type="dxa" w:w="1728"/>
          </w:tcPr>
          <w:p>
            <w:r>
              <w:t>−5.7%</w:t>
            </w:r>
          </w:p>
        </w:tc>
        <w:tc>
          <w:tcPr>
            <w:tcW w:type="dxa" w:w="1728"/>
          </w:tcPr>
          <w:p>
            <w:r>
              <w:t>+4.9%</w:t>
            </w:r>
          </w:p>
        </w:tc>
        <w:tc>
          <w:tcPr>
            <w:tcW w:type="dxa" w:w="1728"/>
          </w:tcPr>
          <w:p>
            <w:r>
              <w:t>−5.9%</w:t>
            </w:r>
          </w:p>
        </w:tc>
      </w:tr>
    </w:tbl>
    <w:p/>
    <w:p>
      <w:pPr/>
      <w:r>
        <w:t>Under the tolerant profile, v5b's front-loaded cues fire more episode breaks in every band (+4.9% to +20.4%), while v4/v6 fire fewer from 4–6 up (v4 −1.8% at 4–6 to −5.7% at 13+) — the same split as the measured episode result. The replay does not reproduce the sparse-band (1–3) loss for v4/v6: it predicts +4.3% / +4.2% on episodes where mobile measures −5.48% sig / −6.54% sig. The replay assumes full viewing; on mobile only 67.8% of ABF2 episode views reach ABF2's ~6.3-min first cue and 64.7% reach v4/v6's ~9.7-min first cue (OTT: 91.1% / 89.3%). Losing the first break on ~5% of views matters most on sparse titles, where it is a large share of all breaks — a likely but unproven part of the 1–3 loss.</w:t>
      </w:r>
    </w:p>
    <w:p>
      <w:pPr/>
      <w: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Gate profile</w:t>
            </w:r>
          </w:p>
        </w:tc>
        <w:tc>
          <w:tcPr>
            <w:tcW w:type="dxa" w:w="1440"/>
          </w:tcPr>
          <w:p>
            <w:r>
              <w:t>Arm</w:t>
            </w:r>
          </w:p>
        </w:tc>
        <w:tc>
          <w:tcPr>
            <w:tcW w:type="dxa" w:w="1440"/>
          </w:tcPr>
          <w:p>
            <w:r>
              <w:t>Total episode simΔ</w:t>
            </w:r>
          </w:p>
        </w:tc>
        <w:tc>
          <w:tcPr>
            <w:tcW w:type="dxa" w:w="1440"/>
          </w:tcPr>
          <w:p>
            <w:r>
              <w:t>from fewer cue points</w:t>
            </w:r>
          </w:p>
        </w:tc>
        <w:tc>
          <w:tcPr>
            <w:tcW w:type="dxa" w:w="1440"/>
          </w:tcPr>
          <w:p>
            <w:r>
              <w:t>from placement</w:t>
            </w:r>
          </w:p>
        </w:tc>
        <w:tc>
          <w:tcPr>
            <w:tcW w:type="dxa" w:w="1440"/>
          </w:tcPr>
          <w:p>
            <w:r>
              <w:t>from gains</w:t>
            </w:r>
          </w:p>
        </w:tc>
      </w:tr>
      <w:tr>
        <w:tc>
          <w:tcPr>
            <w:tcW w:type="dxa" w:w="1440"/>
          </w:tcPr>
          <w:p>
            <w:r>
              <w:t>A (OTT base)</w:t>
            </w:r>
          </w:p>
        </w:tc>
        <w:tc>
          <w:tcPr>
            <w:tcW w:type="dxa" w:w="1440"/>
          </w:tcPr>
          <w:p>
            <w:r>
              <w:t>v4</w:t>
            </w:r>
          </w:p>
        </w:tc>
        <w:tc>
          <w:tcPr>
            <w:tcW w:type="dxa" w:w="1440"/>
          </w:tcPr>
          <w:p>
            <w:r>
              <w:t>+0.1%</w:t>
            </w:r>
          </w:p>
        </w:tc>
        <w:tc>
          <w:tcPr>
            <w:tcW w:type="dxa" w:w="1440"/>
          </w:tcPr>
          <w:p>
            <w:r>
              <w:t>−4.4%</w:t>
            </w:r>
          </w:p>
        </w:tc>
        <w:tc>
          <w:tcPr>
            <w:tcW w:type="dxa" w:w="1440"/>
          </w:tcPr>
          <w:p>
            <w:r>
              <w:t>−1.1%</w:t>
            </w:r>
          </w:p>
        </w:tc>
        <w:tc>
          <w:tcPr>
            <w:tcW w:type="dxa" w:w="1440"/>
          </w:tcPr>
          <w:p>
            <w:r>
              <w:t>+5.6%</w:t>
            </w:r>
          </w:p>
        </w:tc>
      </w:tr>
      <w:tr>
        <w:tc>
          <w:tcPr>
            <w:tcW w:type="dxa" w:w="1440"/>
          </w:tcPr>
          <w:p>
            <w:r>
              <w:t>A (OTT base)</w:t>
            </w:r>
          </w:p>
        </w:tc>
        <w:tc>
          <w:tcPr>
            <w:tcW w:type="dxa" w:w="1440"/>
          </w:tcPr>
          <w:p>
            <w:r>
              <w:t>v5b</w:t>
            </w:r>
          </w:p>
        </w:tc>
        <w:tc>
          <w:tcPr>
            <w:tcW w:type="dxa" w:w="1440"/>
          </w:tcPr>
          <w:p>
            <w:r>
              <w:t>+4.5%</w:t>
            </w:r>
          </w:p>
        </w:tc>
        <w:tc>
          <w:tcPr>
            <w:tcW w:type="dxa" w:w="1440"/>
          </w:tcPr>
          <w:p>
            <w:r>
              <w:t>−1.1%</w:t>
            </w:r>
          </w:p>
        </w:tc>
        <w:tc>
          <w:tcPr>
            <w:tcW w:type="dxa" w:w="1440"/>
          </w:tcPr>
          <w:p>
            <w:r>
              <w:t>−2.1%</w:t>
            </w:r>
          </w:p>
        </w:tc>
        <w:tc>
          <w:tcPr>
            <w:tcW w:type="dxa" w:w="1440"/>
          </w:tcPr>
          <w:p>
            <w:r>
              <w:t>+7.6%</w:t>
            </w:r>
          </w:p>
        </w:tc>
      </w:tr>
      <w:tr>
        <w:tc>
          <w:tcPr>
            <w:tcW w:type="dxa" w:w="1440"/>
          </w:tcPr>
          <w:p>
            <w:r>
              <w:t>A (OTT base)</w:t>
            </w:r>
          </w:p>
        </w:tc>
        <w:tc>
          <w:tcPr>
            <w:tcW w:type="dxa" w:w="1440"/>
          </w:tcPr>
          <w:p>
            <w:r>
              <w:t>v6</w:t>
            </w:r>
          </w:p>
        </w:tc>
        <w:tc>
          <w:tcPr>
            <w:tcW w:type="dxa" w:w="1440"/>
          </w:tcPr>
          <w:p>
            <w:r>
              <w:t>+0.0%</w:t>
            </w:r>
          </w:p>
        </w:tc>
        <w:tc>
          <w:tcPr>
            <w:tcW w:type="dxa" w:w="1440"/>
          </w:tcPr>
          <w:p>
            <w:r>
              <w:t>−4.5%</w:t>
            </w:r>
          </w:p>
        </w:tc>
        <w:tc>
          <w:tcPr>
            <w:tcW w:type="dxa" w:w="1440"/>
          </w:tcPr>
          <w:p>
            <w:r>
              <w:t>−1.1%</w:t>
            </w:r>
          </w:p>
        </w:tc>
        <w:tc>
          <w:tcPr>
            <w:tcW w:type="dxa" w:w="1440"/>
          </w:tcPr>
          <w:p>
            <w:r>
              <w:t>+5.5%</w:t>
            </w:r>
          </w:p>
        </w:tc>
      </w:tr>
      <w:tr>
        <w:tc>
          <w:tcPr>
            <w:tcW w:type="dxa" w:w="1440"/>
          </w:tcPr>
          <w:p>
            <w:r>
              <w:t>B (tolerant)</w:t>
            </w:r>
          </w:p>
        </w:tc>
        <w:tc>
          <w:tcPr>
            <w:tcW w:type="dxa" w:w="1440"/>
          </w:tcPr>
          <w:p>
            <w:r>
              <w:t>v4</w:t>
            </w:r>
          </w:p>
        </w:tc>
        <w:tc>
          <w:tcPr>
            <w:tcW w:type="dxa" w:w="1440"/>
          </w:tcPr>
          <w:p>
            <w:r>
              <w:t>−1.0%</w:t>
            </w:r>
          </w:p>
        </w:tc>
        <w:tc>
          <w:tcPr>
            <w:tcW w:type="dxa" w:w="1440"/>
          </w:tcPr>
          <w:p>
            <w:r>
              <w:t>−4.5%</w:t>
            </w:r>
          </w:p>
        </w:tc>
        <w:tc>
          <w:tcPr>
            <w:tcW w:type="dxa" w:w="1440"/>
          </w:tcPr>
          <w:p>
            <w:r>
              <w:t>−2.1%</w:t>
            </w:r>
          </w:p>
        </w:tc>
        <w:tc>
          <w:tcPr>
            <w:tcW w:type="dxa" w:w="1440"/>
          </w:tcPr>
          <w:p>
            <w:r>
              <w:t>+5.6%</w:t>
            </w:r>
          </w:p>
        </w:tc>
      </w:tr>
      <w:tr>
        <w:tc>
          <w:tcPr>
            <w:tcW w:type="dxa" w:w="1440"/>
          </w:tcPr>
          <w:p>
            <w:r>
              <w:t>B (tolerant)</w:t>
            </w:r>
          </w:p>
        </w:tc>
        <w:tc>
          <w:tcPr>
            <w:tcW w:type="dxa" w:w="1440"/>
          </w:tcPr>
          <w:p>
            <w:r>
              <w:t>v5b</w:t>
            </w:r>
          </w:p>
        </w:tc>
        <w:tc>
          <w:tcPr>
            <w:tcW w:type="dxa" w:w="1440"/>
          </w:tcPr>
          <w:p>
            <w:r>
              <w:t>+12.8%</w:t>
            </w:r>
          </w:p>
        </w:tc>
        <w:tc>
          <w:tcPr>
            <w:tcW w:type="dxa" w:w="1440"/>
          </w:tcPr>
          <w:p>
            <w:r>
              <w:t>+2.9%</w:t>
            </w:r>
          </w:p>
        </w:tc>
        <w:tc>
          <w:tcPr>
            <w:tcW w:type="dxa" w:w="1440"/>
          </w:tcPr>
          <w:p>
            <w:r>
              <w:t>−1.8%</w:t>
            </w:r>
          </w:p>
        </w:tc>
        <w:tc>
          <w:tcPr>
            <w:tcW w:type="dxa" w:w="1440"/>
          </w:tcPr>
          <w:p>
            <w:r>
              <w:t>+11.7%</w:t>
            </w:r>
          </w:p>
        </w:tc>
      </w:tr>
      <w:tr>
        <w:tc>
          <w:tcPr>
            <w:tcW w:type="dxa" w:w="1440"/>
          </w:tcPr>
          <w:p>
            <w:r>
              <w:t>B (tolerant)</w:t>
            </w:r>
          </w:p>
        </w:tc>
        <w:tc>
          <w:tcPr>
            <w:tcW w:type="dxa" w:w="1440"/>
          </w:tcPr>
          <w:p>
            <w:r>
              <w:t>v6</w:t>
            </w:r>
          </w:p>
        </w:tc>
        <w:tc>
          <w:tcPr>
            <w:tcW w:type="dxa" w:w="1440"/>
          </w:tcPr>
          <w:p>
            <w:r>
              <w:t>−1.0%</w:t>
            </w:r>
          </w:p>
        </w:tc>
        <w:tc>
          <w:tcPr>
            <w:tcW w:type="dxa" w:w="1440"/>
          </w:tcPr>
          <w:p>
            <w:r>
              <w:t>−4.6%</w:t>
            </w:r>
          </w:p>
        </w:tc>
        <w:tc>
          <w:tcPr>
            <w:tcW w:type="dxa" w:w="1440"/>
          </w:tcPr>
          <w:p>
            <w:r>
              <w:t>−2.1%</w:t>
            </w:r>
          </w:p>
        </w:tc>
        <w:tc>
          <w:tcPr>
            <w:tcW w:type="dxa" w:w="1440"/>
          </w:tcPr>
          <w:p>
            <w:r>
              <w:t>+5.6%</w:t>
            </w:r>
          </w:p>
        </w:tc>
      </w:tr>
    </w:tbl>
    <w:p/>
    <w:p>
      <w:pPr/>
      <w:r>
        <w:t>For v4/v6 the episode deficit is mostly a count miss (dense episodes pruned below control) under both profiles, so the per-title floor is the main lever. For v5b the tolerant profile turns the count term positive — v5b's ABF2-density lists fire more breaks when gates are looser.</w:t>
      </w:r>
    </w:p>
    <w:p>
      <w:pPr>
        <w:pStyle w:val="Heading1"/>
      </w:pPr>
      <w:r>
        <w:t>3. Decision frame</w:t>
      </w:r>
    </w:p>
    <w:p>
      <w:pPr/>
      <w:r>
        <w:t>Early read, same window as OTT. Judge the money on total revenue; on mobile every revenue pool moves the same direction, so the read is unambiguous. The one new wrinkle is v5b's small TVT dip.</w:t>
      </w:r>
    </w:p>
    <w:p>
      <w:pPr>
        <w:pStyle w:val="ListBullet"/>
      </w:pPr>
      <w:r>
        <w:rPr>
          <w:b/>
        </w:rPr>
        <w:t>v5b is the only arm to carry forward on mobile.</w:t>
      </w:r>
      <w:r>
        <w:t xml:space="preserve"> Total revenue +0.710% sig, on-title unbudgeted +1.893% sig, impressions up. TVT is −0.397% sig (was −0.359% ns on the 10-15 read) — small, but now nominally significant in ITT, Active and ToT, so it is the engagement item to track as the window grows.</w:t>
      </w:r>
    </w:p>
    <w:p>
      <w:pPr>
        <w:pStyle w:val="ListBullet"/>
      </w:pPr>
      <w:r>
        <w:rPr>
          <w:b/>
        </w:rPr>
        <w:t>v4 and v6 should not ship to mobile as-is.</w:t>
      </w:r>
      <w:r>
        <w:t xml:space="preserve"> Both lose significantly (−1.642% sig, −1.264% sig), driven by episodes and sparse titles. The OTT recommendation for v6 does not carry over.</w:t>
      </w:r>
    </w:p>
    <w:p>
      <w:pPr>
        <w:pStyle w:val="ListBullet"/>
      </w:pPr>
      <w:r>
        <w:rPr>
          <w:b/>
        </w:rPr>
        <w:t>The fixes from OTT apply, plus one.</w:t>
      </w:r>
      <w:r>
        <w:t xml:space="preserve"> A per-title floor removes the below-control loss (validated here too). An earlier first episode cue likely matters more on mobile, where more viewers stop early — v5b, which front-loads cues, is the arm that gains on episodes.</w:t>
      </w:r>
    </w:p>
    <w:p>
      <w:pPr>
        <w:pStyle w:val="ListBullet"/>
      </w:pPr>
      <w:r>
        <w:rPr>
          <w:b/>
        </w:rPr>
        <w:t>Open items.</w:t>
      </w:r>
      <w:r>
        <w:t xml:space="preserve"> Get the mobile ad config to replace the approximate gate profiles; re-read after a longer window — mobile intervals are ~2.7× wider than OTT's.</w:t>
      </w:r>
    </w:p>
    <w:p>
      <w:pPr>
        <w:pStyle w:val="Heading1"/>
      </w:pPr>
      <w:r>
        <w:t>Appendix B — served cue points</w:t>
      </w:r>
    </w:p>
    <w:p>
      <w:pPr>
        <w:pStyle w:val="Heading2"/>
      </w:pPr>
      <w:r>
        <w:t>B.4 Cue points per hour versus ABF2</w:t>
      </w:r>
    </w:p>
    <w:p>
      <w:pPr/>
      <w:r>
        <w:t>From the served counts and durations in `ml_dev.tmp.abf3_new_pruner_cuepoints` (catalog-level; identical on every platform).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pPr>
        <w:pStyle w:val="Heading2"/>
      </w:pPr>
      <w:r>
        <w:t>B.5 Revenue-pool diagnostic — is the budgeted lift incremental?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−1.919% sig</w:t>
            </w:r>
          </w:p>
        </w:tc>
        <w:tc>
          <w:tcPr>
            <w:tcW w:type="dxa" w:w="2880"/>
          </w:tcPr>
          <w:p>
            <w:r>
              <w:t>−1.338% sig</w:t>
            </w:r>
          </w:p>
        </w:tc>
      </w:tr>
      <w:tr>
        <w:tc>
          <w:tcPr>
            <w:tcW w:type="dxa" w:w="2880"/>
          </w:tcPr>
          <w:p>
            <w:r>
              <w:t>v5b</w:t>
            </w:r>
          </w:p>
        </w:tc>
        <w:tc>
          <w:tcPr>
            <w:tcW w:type="dxa" w:w="2880"/>
          </w:tcPr>
          <w:p>
            <w:r>
              <w:t>+0.924% sig</w:t>
            </w:r>
          </w:p>
        </w:tc>
        <w:tc>
          <w:tcPr>
            <w:tcW w:type="dxa" w:w="2880"/>
          </w:tcPr>
          <w:p>
            <w:r>
              <w:t>+0.690% sig</w:t>
            </w:r>
          </w:p>
        </w:tc>
      </w:tr>
      <w:tr>
        <w:tc>
          <w:tcPr>
            <w:tcW w:type="dxa" w:w="2880"/>
          </w:tcPr>
          <w:p>
            <w:r>
              <w:t>v6</w:t>
            </w:r>
          </w:p>
        </w:tc>
        <w:tc>
          <w:tcPr>
            <w:tcW w:type="dxa" w:w="2880"/>
          </w:tcPr>
          <w:p>
            <w:r>
              <w:t>−1.444% sig</w:t>
            </w:r>
          </w:p>
        </w:tc>
        <w:tc>
          <w:tcPr>
            <w:tcW w:type="dxa" w:w="2880"/>
          </w:tcPr>
          <w:p>
            <w:r>
              <w:t>−1.149% sig</w:t>
            </w:r>
          </w:p>
        </w:tc>
      </w:tr>
    </w:tbl>
    <w:p/>
    <w:p>
      <w:pPr/>
      <w:r>
        <w:t>For v5b both pools rise (budgeted +0.924% sig, unbudgeted +0.690% sig), so the extra ads are new inventory filled by both demand types — a cleaner incrementality signal than OTT, where budgeted rises far more than unbudgeted. For v4 and v6 both pools fall: fewer fireable breaks, not a demand shift.</w:t>
      </w:r>
    </w:p>
    <w:p>
      <w:pPr>
        <w:pStyle w:val="Heading1"/>
      </w:pPr>
      <w:r>
        <w:t>Appendix C — Methods</w:t>
      </w:r>
    </w:p>
    <w:p>
      <w:pPr>
        <w:pStyle w:val="ListBullet"/>
      </w:pPr>
      <w:r>
        <w:rPr>
          <w:b/>
        </w:rPr>
        <w:t>Assignment.</w:t>
      </w:r>
      <w:r>
        <w:t xml:space="preserve"> One variant per device from `core_dev.statsig.exposures` for `ads_mobile_abf_3_v10_abf2_titles_only`; no device has more than one variant. Outcomes require event time at/after first exposure.</w:t>
      </w:r>
    </w:p>
    <w:p>
      <w:pPr>
        <w:pStyle w:val="ListBullet"/>
      </w:pPr>
      <w:r>
        <w:rPr>
          <w:b/>
        </w:rPr>
        <w:t>Window.</w:t>
      </w:r>
      <w:r>
        <w:t xml:space="preserve"> Outcomes 2026-10-09 through 2026-10-18, capped at 2026-10-19 00:00 UTC. CUPED covariate 2026-09-25 → 2026-10-08. Active = ≥1 video session since first exposure in-window. ToT = ≥1 second of TVT on an ABF2-catalog title in-window.</w:t>
      </w:r>
    </w:p>
    <w:p>
      <w:pPr>
        <w:pStyle w:val="ListBullet"/>
      </w:pPr>
      <w:r>
        <w:rPr>
          <w:b/>
        </w:rPr>
        <w:t>ABF2 title list, metrics, estimator.</w:t>
      </w:r>
      <w:r>
        <w:t xml:space="preserve"> Identical to the OTT report: movie/episode streams with non-empty `cue_points_abf`, excluding `abf3_pruned_v8` and the v8 title table; total / budgeted / unbudgeted revenue from `core_prod.ads.impressions` × `mercurydb_cdc.campaigns` with the v8 advertiser exclusions; device-level CUPED with pooled theta per population, Welch 95% (z = 1.96). Band/type/below-control tables are raw Welch.</w:t>
      </w:r>
    </w:p>
    <w:p>
      <w:pPr>
        <w:pStyle w:val="ListBullet"/>
      </w:pPr>
      <w:r>
        <w:rPr>
          <w:b/>
        </w:rPr>
        <w:t>Gate replay.</w:t>
      </w:r>
      <w:r>
        <w:t xml:space="preserve"> Same simulation as OTT, re-run as a SQL port of `v10_gate_replay.py` (`gate_replay_all.sql`; validated against the 10-15 notebook run), TVT weights from in-window video sessions on this platform. Gate values are approximations — see §2c.</w:t>
      </w:r>
    </w:p>
    <w:p>
      <w:pPr>
        <w:pStyle w:val="ListBullet"/>
      </w:pPr>
      <w:r>
        <w:rPr>
          <w:b/>
        </w:rPr>
        <w:t>Served cue lists.</w:t>
      </w:r>
      <w:r>
        <w:t xml:space="preserve"> `ml_dev.tmp.abf3_new_pruner_cuepoints` (snapshot 2026-10-08; T1 = v4, T2 = v6, T3 = v5b; the table now also holds extra arms that are not part of v10 and were excluded) — catalog-level, so §B.4 and the first-cue table match the OTT report.</w:t>
      </w:r>
    </w:p>
    <w:p>
      <w:pPr>
        <w:pStyle w:val="ListBullet"/>
      </w:pPr>
      <w:r>
        <w:rPr>
          <w:b/>
        </w:rPr>
        <w:t>Code.</w:t>
      </w:r>
      <w:r>
        <w:t xml:space="preserve"> Queries and scripts in `abf-experiment/v10_verification/` (refresh outputs in `results_20261019/`).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