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(Web)</w:t>
      </w:r>
    </w:p>
    <w:p>
      <w:pPr/>
      <w:r>
        <w:rPr>
          <w:b/>
        </w:rPr>
        <w:t>Experiment:</w:t>
      </w:r>
      <w:r>
        <w:t xml:space="preserve"> `ads_web_abf_3_v10_abf2_titles_only` (Web)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2026-10-18 (complete days). Outcomes are capped at 2026-10-19 00:00 UTC, the latest day loaded in the exposures table; same window as the refreshed OTT report. This is an early read of a live test, not a graduation read, and it has not been re-reconciled with a Statsig scorecard.</w:t>
      </w:r>
    </w:p>
    <w:p>
      <w:pPr/>
      <w:r>
        <w:rPr>
          <w:b/>
        </w:rPr>
        <w:t>Method:</w:t>
      </w:r>
      <w:r>
        <w:t xml:space="preserve"> device-level CUPED, pre-period 2026-09-25 → 2026-10-08, Welch 95% intervals. ~6.28M devices/arm (ITT). Revenue is reported three ways — total (all billable ads), budgeted (direct, guaranteed, PMP), and unbudgeted (open auction, the v8 metric) — plus ad impressions and TVT. Same queries and definitions as the OTT report (Appendix C), run on the web experiment's exposures. Report date 2026-10-19.</w:t>
      </w:r>
    </w:p>
    <w:p>
      <w:pPr/>
      <w:r>
        <w:rPr>
          <w:b/>
        </w:rPr>
        <w:t>Refresh (2026-10-19):</w:t>
      </w:r>
      <w:r>
        <w:t xml:space="preserve"> Window extended from 2026-10-15 14:00 UTC to the end of 2026-10-18 (every complete day loaded in the exposures table); ITT devices/arm grew from 3.42M to 6.28M. Global ITT total revenue, 10-15 → now: v4 −1.351% → −1.529%; v5b +1.936% → +1.921%; v6 −0.235% → −0.280%. TVT: v4 +0.379% → −0.071%; v5b +0.013% → +0.179%; v6 +0.153% → +0.012%. No global ITT significance call changed. All tables, the band/type/below-control cuts, the gate replay and the viewing-depth numbers below were re-run on the new window.</w:t>
      </w:r>
    </w:p>
    <w:p>
      <w:pPr>
        <w:pStyle w:val="Heading1"/>
      </w:pPr>
      <w:r>
        <w:t>TL;DR</w:t>
      </w:r>
    </w:p>
    <w:p>
      <w:pPr>
        <w:pStyle w:val="ListBullet"/>
      </w:pPr>
      <w:r>
        <w:rPr>
          <w:b/>
        </w:rPr>
        <w:t>v5b is the clear winner on web.</w:t>
      </w:r>
      <w:r>
        <w:t xml:space="preserve"> Total revenue +1.921% sig, budgeted +1.911% sig, unbudgeted +2.387% sig, impressions +2.051% sig. On the treated ABF2 titles open-auction revenue is +3.653% sig. TVT flat (+0.179% ns).</w:t>
      </w:r>
    </w:p>
    <w:p>
      <w:pPr>
        <w:pStyle w:val="ListBullet"/>
      </w:pPr>
      <w:r>
        <w:rPr>
          <w:b/>
        </w:rPr>
        <w:t>v4 loses; v6 is flat.</w:t>
      </w:r>
      <w:r>
        <w:t xml:space="preserve"> Total revenue v4 −1.529% sig (budgeted −1.486% sig), v6 −0.280% ns. Neither moves TVT.</w:t>
      </w:r>
    </w:p>
    <w:p>
      <w:pPr>
        <w:pStyle w:val="ListBullet"/>
      </w:pPr>
      <w:r>
        <w:rPr>
          <w:b/>
        </w:rPr>
        <w:t>Episodes split the arms, as on mobile.</w:t>
      </w:r>
      <w:r>
        <w:t xml:space="preserve"> Episode open-auction revenue: v5b +4.21% sig, v6 −4.46% sig, v4 −2.65% ns. Movies gain on v6 (+4.54% sig); v4 (+2.04% ns) and v5b (+1.89% ns) are positive but not significant.</w:t>
      </w:r>
    </w:p>
    <w:p>
      <w:pPr>
        <w:pStyle w:val="ListBullet"/>
      </w:pPr>
      <w:r>
        <w:rPr>
          <w:b/>
        </w:rPr>
        <w:t>Web is a small, noisy surface.</w:t>
      </w:r>
      <w:r>
        <w:t xml:space="preserve"> Only ~9% of exposed web devices watched anything in-window (Active n ≈ 594K/arm), and total revenue is ~$0.02 per exposed device in the window. Intervals are wide; at the headline level only v5b's gain and v4's loss clear zero.</w:t>
      </w:r>
    </w:p>
    <w:p>
      <w:pPr>
        <w:pStyle w:val="ListBullet"/>
      </w:pPr>
      <w:r>
        <w:rPr>
          <w:b/>
        </w:rPr>
        <w:t>TVT is flat everywhere.</w:t>
      </w:r>
      <w:r>
        <w:t xml:space="preserve"> No TVT move is significant in any population, band, type, or below-control cut.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−1.529% [−2.563, −0.495] sig</w:t>
            </w:r>
          </w:p>
        </w:tc>
        <w:tc>
          <w:tcPr>
            <w:tcW w:type="dxa" w:w="1440"/>
          </w:tcPr>
          <w:p>
            <w:r>
              <w:t>−1.486% sig</w:t>
            </w:r>
          </w:p>
        </w:tc>
        <w:tc>
          <w:tcPr>
            <w:tcW w:type="dxa" w:w="1440"/>
          </w:tcPr>
          <w:p>
            <w:r>
              <w:t>−0.881% ns</w:t>
            </w:r>
          </w:p>
        </w:tc>
        <w:tc>
          <w:tcPr>
            <w:tcW w:type="dxa" w:w="1440"/>
          </w:tcPr>
          <w:p>
            <w:r>
              <w:t>−1.621% sig</w:t>
            </w:r>
          </w:p>
        </w:tc>
        <w:tc>
          <w:tcPr>
            <w:tcW w:type="dxa" w:w="1440"/>
          </w:tcPr>
          <w:p>
            <w:r>
              <w:t>−0.071% ns</w:t>
            </w:r>
          </w:p>
        </w:tc>
      </w:tr>
      <w:tr>
        <w:tc>
          <w:tcPr>
            <w:tcW w:type="dxa" w:w="1440"/>
          </w:tcPr>
          <w:p>
            <w:r>
              <w:t>v5b (ABF2 density, gate-aware placement)</w:t>
            </w:r>
          </w:p>
        </w:tc>
        <w:tc>
          <w:tcPr>
            <w:tcW w:type="dxa" w:w="1440"/>
          </w:tcPr>
          <w:p>
            <w:r>
              <w:t>+1.921% [+0.863, +2.979] sig</w:t>
            </w:r>
          </w:p>
        </w:tc>
        <w:tc>
          <w:tcPr>
            <w:tcW w:type="dxa" w:w="1440"/>
          </w:tcPr>
          <w:p>
            <w:r>
              <w:t>+1.911% sig</w:t>
            </w:r>
          </w:p>
        </w:tc>
        <w:tc>
          <w:tcPr>
            <w:tcW w:type="dxa" w:w="1440"/>
          </w:tcPr>
          <w:p>
            <w:r>
              <w:t>+2.387% sig</w:t>
            </w:r>
          </w:p>
        </w:tc>
        <w:tc>
          <w:tcPr>
            <w:tcW w:type="dxa" w:w="1440"/>
          </w:tcPr>
          <w:p>
            <w:r>
              <w:t>+2.051% sig</w:t>
            </w:r>
          </w:p>
        </w:tc>
        <w:tc>
          <w:tcPr>
            <w:tcW w:type="dxa" w:w="1440"/>
          </w:tcPr>
          <w:p>
            <w:r>
              <w:t>+0.179% ns</w:t>
            </w:r>
          </w:p>
        </w:tc>
      </w:tr>
      <w:tr>
        <w:tc>
          <w:tcPr>
            <w:tcW w:type="dxa" w:w="1440"/>
          </w:tcPr>
          <w:p>
            <w:r>
              <w:t>v6 (movies 60–120 min, +7% load)</w:t>
            </w:r>
          </w:p>
        </w:tc>
        <w:tc>
          <w:tcPr>
            <w:tcW w:type="dxa" w:w="1440"/>
          </w:tcPr>
          <w:p>
            <w:r>
              <w:t>−0.280% [−1.329, +0.768] ns</w:t>
            </w:r>
          </w:p>
        </w:tc>
        <w:tc>
          <w:tcPr>
            <w:tcW w:type="dxa" w:w="1440"/>
          </w:tcPr>
          <w:p>
            <w:r>
              <w:t>−0.151% ns</w:t>
            </w:r>
          </w:p>
        </w:tc>
        <w:tc>
          <w:tcPr>
            <w:tcW w:type="dxa" w:w="1440"/>
          </w:tcPr>
          <w:p>
            <w:r>
              <w:t>+0.544% ns</w:t>
            </w:r>
          </w:p>
        </w:tc>
        <w:tc>
          <w:tcPr>
            <w:tcW w:type="dxa" w:w="1440"/>
          </w:tcPr>
          <w:p>
            <w:r>
              <w:t>−0.279% ns</w:t>
            </w:r>
          </w:p>
        </w:tc>
        <w:tc>
          <w:tcPr>
            <w:tcW w:type="dxa" w:w="1440"/>
          </w:tcPr>
          <w:p>
            <w:r>
              <w:t>+0.012% ns</w:t>
            </w:r>
          </w:p>
        </w:tc>
      </w:tr>
    </w:tbl>
    <w:p/>
    <w:p>
      <w:pPr/>
      <w:r>
        <w:t>All figures are global ITT CUPED lifts versus Control. Direction is stable across ITT, Active, and ToT (v4's total-revenue loss is also significant in Active and ToT). Significance calls are nominal 95% (not adjusted for sequential looks or three arms) and the interval widening seen on the Statsig scorecard (~1.8× on the 10-15 OTT read) would apply here too; not re-checked against Statsig for this window.</w:t>
      </w:r>
    </w:p>
    <w:p>
      <w:pPr>
        <w:pStyle w:val="Heading1"/>
      </w:pPr>
      <w:r>
        <w:t>1. Headline (2026-10-09 → 2026-10-18)</w:t>
      </w:r>
    </w:p>
    <w:p>
      <w:pPr/>
      <w:r>
        <w:t>All figures are CUPED lifts versus Control, 95% intervals. Global is across every title an exposed device watched. On-title is the same devices, restricted to the ABF2 title list.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−1.529% [−2.563, −0.495] sig</w:t>
            </w:r>
          </w:p>
        </w:tc>
        <w:tc>
          <w:tcPr>
            <w:tcW w:type="dxa" w:w="1728"/>
          </w:tcPr>
          <w:p>
            <w:r>
              <w:t>−1.486% [−2.295, −0.677] sig</w:t>
            </w:r>
          </w:p>
        </w:tc>
        <w:tc>
          <w:tcPr>
            <w:tcW w:type="dxa" w:w="1728"/>
          </w:tcPr>
          <w:p>
            <w:r>
              <w:t>−0.881% [−2.276, +0.514] ns</w:t>
            </w:r>
          </w:p>
        </w:tc>
        <w:tc>
          <w:tcPr>
            <w:tcW w:type="dxa" w:w="1728"/>
          </w:tcPr>
          <w:p>
            <w:r>
              <w:t>−1.621% [−2.597, −0.645] sig</w:t>
            </w:r>
          </w:p>
        </w:tc>
      </w:tr>
      <w:tr>
        <w:tc>
          <w:tcPr>
            <w:tcW w:type="dxa" w:w="1728"/>
          </w:tcPr>
          <w:p>
            <w:r>
              <w:t>v5b</w:t>
            </w:r>
          </w:p>
        </w:tc>
        <w:tc>
          <w:tcPr>
            <w:tcW w:type="dxa" w:w="1728"/>
          </w:tcPr>
          <w:p>
            <w:r>
              <w:t>+1.921% [+0.863, +2.979] sig</w:t>
            </w:r>
          </w:p>
        </w:tc>
        <w:tc>
          <w:tcPr>
            <w:tcW w:type="dxa" w:w="1728"/>
          </w:tcPr>
          <w:p>
            <w:r>
              <w:t>+1.911% [+1.089, +2.733] sig</w:t>
            </w:r>
          </w:p>
        </w:tc>
        <w:tc>
          <w:tcPr>
            <w:tcW w:type="dxa" w:w="1728"/>
          </w:tcPr>
          <w:p>
            <w:r>
              <w:t>+2.387% [+0.943, +3.830] sig</w:t>
            </w:r>
          </w:p>
        </w:tc>
        <w:tc>
          <w:tcPr>
            <w:tcW w:type="dxa" w:w="1728"/>
          </w:tcPr>
          <w:p>
            <w:r>
              <w:t>+2.051% [+1.049, +3.053] sig</w:t>
            </w:r>
          </w:p>
        </w:tc>
      </w:tr>
      <w:tr>
        <w:tc>
          <w:tcPr>
            <w:tcW w:type="dxa" w:w="1728"/>
          </w:tcPr>
          <w:p>
            <w:r>
              <w:t>v6</w:t>
            </w:r>
          </w:p>
        </w:tc>
        <w:tc>
          <w:tcPr>
            <w:tcW w:type="dxa" w:w="1728"/>
          </w:tcPr>
          <w:p>
            <w:r>
              <w:t>−0.280% [−1.329, +0.768] ns</w:t>
            </w:r>
          </w:p>
        </w:tc>
        <w:tc>
          <w:tcPr>
            <w:tcW w:type="dxa" w:w="1728"/>
          </w:tcPr>
          <w:p>
            <w:r>
              <w:t>−0.151% [−0.961, +0.659] ns</w:t>
            </w:r>
          </w:p>
        </w:tc>
        <w:tc>
          <w:tcPr>
            <w:tcW w:type="dxa" w:w="1728"/>
          </w:tcPr>
          <w:p>
            <w:r>
              <w:t>+0.544% [−0.903, +1.990] ns</w:t>
            </w:r>
          </w:p>
        </w:tc>
        <w:tc>
          <w:tcPr>
            <w:tcW w:type="dxa" w:w="1728"/>
          </w:tcPr>
          <w:p>
            <w:r>
              <w:t>−0.279% [−1.266, +0.708] ns</w:t>
            </w:r>
          </w:p>
        </w:tc>
      </w:tr>
    </w:tbl>
    <w:p/>
    <w:p>
      <w:pPr/>
      <w:r>
        <w:t>Control per-device means: total revenue 0.020, budgeted 0.010, all-ad impressions 2.2; ITT n/arm ≈ 6.28M. v5b gains in every pool, with the largest lift in the open auction (+2.387% sig) — the opposite of OTT, where v5b's gain comes mostly through budgeted demand. v4's loss is in the budgeted pool (−1.486% sig); its open-auction revenue is −0.881% ns.</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6,285,011</w:t>
            </w:r>
          </w:p>
        </w:tc>
        <w:tc>
          <w:tcPr>
            <w:tcW w:type="dxa" w:w="1440"/>
          </w:tcPr>
          <w:p>
            <w:r>
              <w:t>−0.881% [−2.276, +0.514] ns</w:t>
            </w:r>
          </w:p>
        </w:tc>
        <w:tc>
          <w:tcPr>
            <w:tcW w:type="dxa" w:w="1440"/>
          </w:tcPr>
          <w:p>
            <w:r>
              <w:t>−0.902% [−2.133, +0.329] ns</w:t>
            </w:r>
          </w:p>
        </w:tc>
        <w:tc>
          <w:tcPr>
            <w:tcW w:type="dxa" w:w="1440"/>
          </w:tcPr>
          <w:p>
            <w:r>
              <w:t>−0.071% [−0.927, +0.786] ns</w:t>
            </w:r>
          </w:p>
        </w:tc>
      </w:tr>
      <w:tr>
        <w:tc>
          <w:tcPr>
            <w:tcW w:type="dxa" w:w="1440"/>
          </w:tcPr>
          <w:p>
            <w:r>
              <w:t>ITT</w:t>
            </w:r>
          </w:p>
        </w:tc>
        <w:tc>
          <w:tcPr>
            <w:tcW w:type="dxa" w:w="1440"/>
          </w:tcPr>
          <w:p>
            <w:r>
              <w:t>v5b</w:t>
            </w:r>
          </w:p>
        </w:tc>
        <w:tc>
          <w:tcPr>
            <w:tcW w:type="dxa" w:w="1440"/>
          </w:tcPr>
          <w:p>
            <w:r>
              <w:t>6,279,926</w:t>
            </w:r>
          </w:p>
        </w:tc>
        <w:tc>
          <w:tcPr>
            <w:tcW w:type="dxa" w:w="1440"/>
          </w:tcPr>
          <w:p>
            <w:r>
              <w:t>+2.387% [+0.943, +3.830] sig</w:t>
            </w:r>
          </w:p>
        </w:tc>
        <w:tc>
          <w:tcPr>
            <w:tcW w:type="dxa" w:w="1440"/>
          </w:tcPr>
          <w:p>
            <w:r>
              <w:t>+2.703% [+1.401, +4.005] sig</w:t>
            </w:r>
          </w:p>
        </w:tc>
        <w:tc>
          <w:tcPr>
            <w:tcW w:type="dxa" w:w="1440"/>
          </w:tcPr>
          <w:p>
            <w:r>
              <w:t>+0.179% [−0.676, +1.034] ns</w:t>
            </w:r>
          </w:p>
        </w:tc>
      </w:tr>
      <w:tr>
        <w:tc>
          <w:tcPr>
            <w:tcW w:type="dxa" w:w="1440"/>
          </w:tcPr>
          <w:p>
            <w:r>
              <w:t>ITT</w:t>
            </w:r>
          </w:p>
        </w:tc>
        <w:tc>
          <w:tcPr>
            <w:tcW w:type="dxa" w:w="1440"/>
          </w:tcPr>
          <w:p>
            <w:r>
              <w:t>v6</w:t>
            </w:r>
          </w:p>
        </w:tc>
        <w:tc>
          <w:tcPr>
            <w:tcW w:type="dxa" w:w="1440"/>
          </w:tcPr>
          <w:p>
            <w:r>
              <w:t>6,280,033</w:t>
            </w:r>
          </w:p>
        </w:tc>
        <w:tc>
          <w:tcPr>
            <w:tcW w:type="dxa" w:w="1440"/>
          </w:tcPr>
          <w:p>
            <w:r>
              <w:t>+0.544% [−0.903, +1.990] ns</w:t>
            </w:r>
          </w:p>
        </w:tc>
        <w:tc>
          <w:tcPr>
            <w:tcW w:type="dxa" w:w="1440"/>
          </w:tcPr>
          <w:p>
            <w:r>
              <w:t>+0.380% [−0.900, +1.659] ns</w:t>
            </w:r>
          </w:p>
        </w:tc>
        <w:tc>
          <w:tcPr>
            <w:tcW w:type="dxa" w:w="1440"/>
          </w:tcPr>
          <w:p>
            <w:r>
              <w:t>+0.012% [−0.843, +0.867] ns</w:t>
            </w:r>
          </w:p>
        </w:tc>
      </w:tr>
      <w:tr>
        <w:tc>
          <w:tcPr>
            <w:tcW w:type="dxa" w:w="1440"/>
          </w:tcPr>
          <w:p>
            <w:r>
              <w:t>Active</w:t>
            </w:r>
          </w:p>
        </w:tc>
        <w:tc>
          <w:tcPr>
            <w:tcW w:type="dxa" w:w="1440"/>
          </w:tcPr>
          <w:p>
            <w:r>
              <w:t>v4</w:t>
            </w:r>
          </w:p>
        </w:tc>
        <w:tc>
          <w:tcPr>
            <w:tcW w:type="dxa" w:w="1440"/>
          </w:tcPr>
          <w:p>
            <w:r>
              <w:t>594,403</w:t>
            </w:r>
          </w:p>
        </w:tc>
        <w:tc>
          <w:tcPr>
            <w:tcW w:type="dxa" w:w="1440"/>
          </w:tcPr>
          <w:p>
            <w:r>
              <w:t>−1.012% [−2.356, +0.332] ns</w:t>
            </w:r>
          </w:p>
        </w:tc>
        <w:tc>
          <w:tcPr>
            <w:tcW w:type="dxa" w:w="1440"/>
          </w:tcPr>
          <w:p>
            <w:r>
              <w:t>−1.086% [−2.258, +0.086] ns</w:t>
            </w:r>
          </w:p>
        </w:tc>
        <w:tc>
          <w:tcPr>
            <w:tcW w:type="dxa" w:w="1440"/>
          </w:tcPr>
          <w:p>
            <w:r>
              <w:t>−0.153% [−0.988, +0.681] ns</w:t>
            </w:r>
          </w:p>
        </w:tc>
      </w:tr>
      <w:tr>
        <w:tc>
          <w:tcPr>
            <w:tcW w:type="dxa" w:w="1440"/>
          </w:tcPr>
          <w:p>
            <w:r>
              <w:t>Active</w:t>
            </w:r>
          </w:p>
        </w:tc>
        <w:tc>
          <w:tcPr>
            <w:tcW w:type="dxa" w:w="1440"/>
          </w:tcPr>
          <w:p>
            <w:r>
              <w:t>v5b</w:t>
            </w:r>
          </w:p>
        </w:tc>
        <w:tc>
          <w:tcPr>
            <w:tcW w:type="dxa" w:w="1440"/>
          </w:tcPr>
          <w:p>
            <w:r>
              <w:t>593,587</w:t>
            </w:r>
          </w:p>
        </w:tc>
        <w:tc>
          <w:tcPr>
            <w:tcW w:type="dxa" w:w="1440"/>
          </w:tcPr>
          <w:p>
            <w:r>
              <w:t>+1.538% [+0.195, +2.882] sig</w:t>
            </w:r>
          </w:p>
        </w:tc>
        <w:tc>
          <w:tcPr>
            <w:tcW w:type="dxa" w:w="1440"/>
          </w:tcPr>
          <w:p>
            <w:r>
              <w:t>+1.779% [+0.583, +2.975] sig</w:t>
            </w:r>
          </w:p>
        </w:tc>
        <w:tc>
          <w:tcPr>
            <w:tcW w:type="dxa" w:w="1440"/>
          </w:tcPr>
          <w:p>
            <w:r>
              <w:t>+0.004% [−0.830, +0.837] ns</w:t>
            </w:r>
          </w:p>
        </w:tc>
      </w:tr>
      <w:tr>
        <w:tc>
          <w:tcPr>
            <w:tcW w:type="dxa" w:w="1440"/>
          </w:tcPr>
          <w:p>
            <w:r>
              <w:t>Active</w:t>
            </w:r>
          </w:p>
        </w:tc>
        <w:tc>
          <w:tcPr>
            <w:tcW w:type="dxa" w:w="1440"/>
          </w:tcPr>
          <w:p>
            <w:r>
              <w:t>v6</w:t>
            </w:r>
          </w:p>
        </w:tc>
        <w:tc>
          <w:tcPr>
            <w:tcW w:type="dxa" w:w="1440"/>
          </w:tcPr>
          <w:p>
            <w:r>
              <w:t>592,440</w:t>
            </w:r>
          </w:p>
        </w:tc>
        <w:tc>
          <w:tcPr>
            <w:tcW w:type="dxa" w:w="1440"/>
          </w:tcPr>
          <w:p>
            <w:r>
              <w:t>+0.326% [−1.022, +1.673] ns</w:t>
            </w:r>
          </w:p>
        </w:tc>
        <w:tc>
          <w:tcPr>
            <w:tcW w:type="dxa" w:w="1440"/>
          </w:tcPr>
          <w:p>
            <w:r>
              <w:t>+0.347% [−0.861, +1.554] ns</w:t>
            </w:r>
          </w:p>
        </w:tc>
        <w:tc>
          <w:tcPr>
            <w:tcW w:type="dxa" w:w="1440"/>
          </w:tcPr>
          <w:p>
            <w:r>
              <w:t>−0.077% [−0.911, +0.757] ns</w:t>
            </w:r>
          </w:p>
        </w:tc>
      </w:tr>
      <w:tr>
        <w:tc>
          <w:tcPr>
            <w:tcW w:type="dxa" w:w="1440"/>
          </w:tcPr>
          <w:p>
            <w:r>
              <w:t>ToT</w:t>
            </w:r>
          </w:p>
        </w:tc>
        <w:tc>
          <w:tcPr>
            <w:tcW w:type="dxa" w:w="1440"/>
          </w:tcPr>
          <w:p>
            <w:r>
              <w:t>v4</w:t>
            </w:r>
          </w:p>
        </w:tc>
        <w:tc>
          <w:tcPr>
            <w:tcW w:type="dxa" w:w="1440"/>
          </w:tcPr>
          <w:p>
            <w:r>
              <w:t>288,400</w:t>
            </w:r>
          </w:p>
        </w:tc>
        <w:tc>
          <w:tcPr>
            <w:tcW w:type="dxa" w:w="1440"/>
          </w:tcPr>
          <w:p>
            <w:r>
              <w:t>−0.551% [−1.962, +0.860] ns</w:t>
            </w:r>
          </w:p>
        </w:tc>
        <w:tc>
          <w:tcPr>
            <w:tcW w:type="dxa" w:w="1440"/>
          </w:tcPr>
          <w:p>
            <w:r>
              <w:t>−0.789% [−2.018, +0.440] ns</w:t>
            </w:r>
          </w:p>
        </w:tc>
        <w:tc>
          <w:tcPr>
            <w:tcW w:type="dxa" w:w="1440"/>
          </w:tcPr>
          <w:p>
            <w:r>
              <w:t>+0.035% [−0.830, +0.899] ns</w:t>
            </w:r>
          </w:p>
        </w:tc>
      </w:tr>
      <w:tr>
        <w:tc>
          <w:tcPr>
            <w:tcW w:type="dxa" w:w="1440"/>
          </w:tcPr>
          <w:p>
            <w:r>
              <w:t>ToT</w:t>
            </w:r>
          </w:p>
        </w:tc>
        <w:tc>
          <w:tcPr>
            <w:tcW w:type="dxa" w:w="1440"/>
          </w:tcPr>
          <w:p>
            <w:r>
              <w:t>v5b</w:t>
            </w:r>
          </w:p>
        </w:tc>
        <w:tc>
          <w:tcPr>
            <w:tcW w:type="dxa" w:w="1440"/>
          </w:tcPr>
          <w:p>
            <w:r>
              <w:t>288,230</w:t>
            </w:r>
          </w:p>
        </w:tc>
        <w:tc>
          <w:tcPr>
            <w:tcW w:type="dxa" w:w="1440"/>
          </w:tcPr>
          <w:p>
            <w:r>
              <w:t>+1.848% [+0.445, +3.250] sig</w:t>
            </w:r>
          </w:p>
        </w:tc>
        <w:tc>
          <w:tcPr>
            <w:tcW w:type="dxa" w:w="1440"/>
          </w:tcPr>
          <w:p>
            <w:r>
              <w:t>+1.927% [+0.684, +3.171] sig</w:t>
            </w:r>
          </w:p>
        </w:tc>
        <w:tc>
          <w:tcPr>
            <w:tcW w:type="dxa" w:w="1440"/>
          </w:tcPr>
          <w:p>
            <w:r>
              <w:t>−0.084% [−0.947, +0.780] ns</w:t>
            </w:r>
          </w:p>
        </w:tc>
      </w:tr>
      <w:tr>
        <w:tc>
          <w:tcPr>
            <w:tcW w:type="dxa" w:w="1440"/>
          </w:tcPr>
          <w:p>
            <w:r>
              <w:t>ToT</w:t>
            </w:r>
          </w:p>
        </w:tc>
        <w:tc>
          <w:tcPr>
            <w:tcW w:type="dxa" w:w="1440"/>
          </w:tcPr>
          <w:p>
            <w:r>
              <w:t>v6</w:t>
            </w:r>
          </w:p>
        </w:tc>
        <w:tc>
          <w:tcPr>
            <w:tcW w:type="dxa" w:w="1440"/>
          </w:tcPr>
          <w:p>
            <w:r>
              <w:t>287,328</w:t>
            </w:r>
          </w:p>
        </w:tc>
        <w:tc>
          <w:tcPr>
            <w:tcW w:type="dxa" w:w="1440"/>
          </w:tcPr>
          <w:p>
            <w:r>
              <w:t>+0.768% [−0.656, +2.192] ns</w:t>
            </w:r>
          </w:p>
        </w:tc>
        <w:tc>
          <w:tcPr>
            <w:tcW w:type="dxa" w:w="1440"/>
          </w:tcPr>
          <w:p>
            <w:r>
              <w:t>+0.557% [−0.714, +1.829] ns</w:t>
            </w:r>
          </w:p>
        </w:tc>
        <w:tc>
          <w:tcPr>
            <w:tcW w:type="dxa" w:w="1440"/>
          </w:tcPr>
          <w:p>
            <w:r>
              <w:t>−0.067% [−0.931, +0.797] ns</w:t>
            </w:r>
          </w:p>
        </w:tc>
      </w:tr>
    </w:tbl>
    <w:p/>
    <w:p>
      <w:pPr/>
      <w:r>
        <w:t>Control n: ITT 6,284,042 · Active 593,689 · ToT 287,822.</w:t>
      </w:r>
    </w:p>
    <w:p>
      <w:pPr/>
      <w: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−1.245% [−3.046, +0.555] ns</w:t>
            </w:r>
          </w:p>
        </w:tc>
        <w:tc>
          <w:tcPr>
            <w:tcW w:type="dxa" w:w="1728"/>
          </w:tcPr>
          <w:p>
            <w:r>
              <w:t>−1.431% [−3.055, +0.194] ns</w:t>
            </w:r>
          </w:p>
        </w:tc>
        <w:tc>
          <w:tcPr>
            <w:tcW w:type="dxa" w:w="1728"/>
          </w:tcPr>
          <w:p>
            <w:r>
              <w:t>+0.224% [−0.941, +1.388] ns</w:t>
            </w:r>
          </w:p>
        </w:tc>
      </w:tr>
      <w:tr>
        <w:tc>
          <w:tcPr>
            <w:tcW w:type="dxa" w:w="1728"/>
          </w:tcPr>
          <w:p>
            <w:r>
              <w:t>ITT</w:t>
            </w:r>
          </w:p>
        </w:tc>
        <w:tc>
          <w:tcPr>
            <w:tcW w:type="dxa" w:w="1728"/>
          </w:tcPr>
          <w:p>
            <w:r>
              <w:t>v5b</w:t>
            </w:r>
          </w:p>
        </w:tc>
        <w:tc>
          <w:tcPr>
            <w:tcW w:type="dxa" w:w="1728"/>
          </w:tcPr>
          <w:p>
            <w:r>
              <w:t>+3.653% [+1.710, +5.596] sig</w:t>
            </w:r>
          </w:p>
        </w:tc>
        <w:tc>
          <w:tcPr>
            <w:tcW w:type="dxa" w:w="1728"/>
          </w:tcPr>
          <w:p>
            <w:r>
              <w:t>+4.075% [+2.285, +5.865] sig</w:t>
            </w:r>
          </w:p>
        </w:tc>
        <w:tc>
          <w:tcPr>
            <w:tcW w:type="dxa" w:w="1728"/>
          </w:tcPr>
          <w:p>
            <w:r>
              <w:t>−0.032% [−1.191, +1.126] ns</w:t>
            </w:r>
          </w:p>
        </w:tc>
      </w:tr>
      <w:tr>
        <w:tc>
          <w:tcPr>
            <w:tcW w:type="dxa" w:w="1728"/>
          </w:tcPr>
          <w:p>
            <w:r>
              <w:t>ITT</w:t>
            </w:r>
          </w:p>
        </w:tc>
        <w:tc>
          <w:tcPr>
            <w:tcW w:type="dxa" w:w="1728"/>
          </w:tcPr>
          <w:p>
            <w:r>
              <w:t>v6</w:t>
            </w:r>
          </w:p>
        </w:tc>
        <w:tc>
          <w:tcPr>
            <w:tcW w:type="dxa" w:w="1728"/>
          </w:tcPr>
          <w:p>
            <w:r>
              <w:t>+0.090% [−1.862, +2.042] ns</w:t>
            </w:r>
          </w:p>
        </w:tc>
        <w:tc>
          <w:tcPr>
            <w:tcW w:type="dxa" w:w="1728"/>
          </w:tcPr>
          <w:p>
            <w:r>
              <w:t>−0.369% [−2.098, +1.359] ns</w:t>
            </w:r>
          </w:p>
        </w:tc>
        <w:tc>
          <w:tcPr>
            <w:tcW w:type="dxa" w:w="1728"/>
          </w:tcPr>
          <w:p>
            <w:r>
              <w:t>−0.113% [−1.275, +1.049] ns</w:t>
            </w:r>
          </w:p>
        </w:tc>
      </w:tr>
      <w:tr>
        <w:tc>
          <w:tcPr>
            <w:tcW w:type="dxa" w:w="1728"/>
          </w:tcPr>
          <w:p>
            <w:r>
              <w:t>Active</w:t>
            </w:r>
          </w:p>
        </w:tc>
        <w:tc>
          <w:tcPr>
            <w:tcW w:type="dxa" w:w="1728"/>
          </w:tcPr>
          <w:p>
            <w:r>
              <w:t>v4</w:t>
            </w:r>
          </w:p>
        </w:tc>
        <w:tc>
          <w:tcPr>
            <w:tcW w:type="dxa" w:w="1728"/>
          </w:tcPr>
          <w:p>
            <w:r>
              <w:t>−1.589% [−3.295, +0.117] ns</w:t>
            </w:r>
          </w:p>
        </w:tc>
        <w:tc>
          <w:tcPr>
            <w:tcW w:type="dxa" w:w="1728"/>
          </w:tcPr>
          <w:p>
            <w:r>
              <w:t>−1.692% [−3.219, −0.166] sig</w:t>
            </w:r>
          </w:p>
        </w:tc>
        <w:tc>
          <w:tcPr>
            <w:tcW w:type="dxa" w:w="1728"/>
          </w:tcPr>
          <w:p>
            <w:r>
              <w:t>+0.141% [−1.007, +1.288] ns</w:t>
            </w:r>
          </w:p>
        </w:tc>
      </w:tr>
      <w:tr>
        <w:tc>
          <w:tcPr>
            <w:tcW w:type="dxa" w:w="1728"/>
          </w:tcPr>
          <w:p>
            <w:r>
              <w:t>Active</w:t>
            </w:r>
          </w:p>
        </w:tc>
        <w:tc>
          <w:tcPr>
            <w:tcW w:type="dxa" w:w="1728"/>
          </w:tcPr>
          <w:p>
            <w:r>
              <w:t>v5b</w:t>
            </w:r>
          </w:p>
        </w:tc>
        <w:tc>
          <w:tcPr>
            <w:tcW w:type="dxa" w:w="1728"/>
          </w:tcPr>
          <w:p>
            <w:r>
              <w:t>+2.115% [+0.358, +3.872] sig</w:t>
            </w:r>
          </w:p>
        </w:tc>
        <w:tc>
          <w:tcPr>
            <w:tcW w:type="dxa" w:w="1728"/>
          </w:tcPr>
          <w:p>
            <w:r>
              <w:t>+2.441% [+0.864, +4.019] sig</w:t>
            </w:r>
          </w:p>
        </w:tc>
        <w:tc>
          <w:tcPr>
            <w:tcW w:type="dxa" w:w="1728"/>
          </w:tcPr>
          <w:p>
            <w:r>
              <w:t>−0.207% [−1.349, +0.934] ns</w:t>
            </w:r>
          </w:p>
        </w:tc>
      </w:tr>
      <w:tr>
        <w:tc>
          <w:tcPr>
            <w:tcW w:type="dxa" w:w="1728"/>
          </w:tcPr>
          <w:p>
            <w:r>
              <w:t>Active</w:t>
            </w:r>
          </w:p>
        </w:tc>
        <w:tc>
          <w:tcPr>
            <w:tcW w:type="dxa" w:w="1728"/>
          </w:tcPr>
          <w:p>
            <w:r>
              <w:t>v6</w:t>
            </w:r>
          </w:p>
        </w:tc>
        <w:tc>
          <w:tcPr>
            <w:tcW w:type="dxa" w:w="1728"/>
          </w:tcPr>
          <w:p>
            <w:r>
              <w:t>−0.872% [−2.619, +0.876] ns</w:t>
            </w:r>
          </w:p>
        </w:tc>
        <w:tc>
          <w:tcPr>
            <w:tcW w:type="dxa" w:w="1728"/>
          </w:tcPr>
          <w:p>
            <w:r>
              <w:t>−0.957% [−2.536, +0.622] ns</w:t>
            </w:r>
          </w:p>
        </w:tc>
        <w:tc>
          <w:tcPr>
            <w:tcW w:type="dxa" w:w="1728"/>
          </w:tcPr>
          <w:p>
            <w:r>
              <w:t>−0.202% [−1.349, +0.945] ns</w:t>
            </w:r>
          </w:p>
        </w:tc>
      </w:tr>
      <w:tr>
        <w:tc>
          <w:tcPr>
            <w:tcW w:type="dxa" w:w="1728"/>
          </w:tcPr>
          <w:p>
            <w:r>
              <w:t>ToT</w:t>
            </w:r>
          </w:p>
        </w:tc>
        <w:tc>
          <w:tcPr>
            <w:tcW w:type="dxa" w:w="1728"/>
          </w:tcPr>
          <w:p>
            <w:r>
              <w:t>v4</w:t>
            </w:r>
          </w:p>
        </w:tc>
        <w:tc>
          <w:tcPr>
            <w:tcW w:type="dxa" w:w="1728"/>
          </w:tcPr>
          <w:p>
            <w:r>
              <w:t>−1.538% [−3.208, +0.131] ns</w:t>
            </w:r>
          </w:p>
        </w:tc>
        <w:tc>
          <w:tcPr>
            <w:tcW w:type="dxa" w:w="1728"/>
          </w:tcPr>
          <w:p>
            <w:r>
              <w:t>−1.683% [−3.172, −0.193] sig</w:t>
            </w:r>
          </w:p>
        </w:tc>
        <w:tc>
          <w:tcPr>
            <w:tcW w:type="dxa" w:w="1728"/>
          </w:tcPr>
          <w:p>
            <w:r>
              <w:t>+0.275% [−0.832, +1.382] ns</w:t>
            </w:r>
          </w:p>
        </w:tc>
      </w:tr>
      <w:tr>
        <w:tc>
          <w:tcPr>
            <w:tcW w:type="dxa" w:w="1728"/>
          </w:tcPr>
          <w:p>
            <w:r>
              <w:t>ToT</w:t>
            </w:r>
          </w:p>
        </w:tc>
        <w:tc>
          <w:tcPr>
            <w:tcW w:type="dxa" w:w="1728"/>
          </w:tcPr>
          <w:p>
            <w:r>
              <w:t>v5b</w:t>
            </w:r>
          </w:p>
        </w:tc>
        <w:tc>
          <w:tcPr>
            <w:tcW w:type="dxa" w:w="1728"/>
          </w:tcPr>
          <w:p>
            <w:r>
              <w:t>+2.125% [+0.405, +3.845] sig</w:t>
            </w:r>
          </w:p>
        </w:tc>
        <w:tc>
          <w:tcPr>
            <w:tcW w:type="dxa" w:w="1728"/>
          </w:tcPr>
          <w:p>
            <w:r>
              <w:t>+2.391% [+0.853, +3.929] sig</w:t>
            </w:r>
          </w:p>
        </w:tc>
        <w:tc>
          <w:tcPr>
            <w:tcW w:type="dxa" w:w="1728"/>
          </w:tcPr>
          <w:p>
            <w:r>
              <w:t>−0.365% [−1.468, +0.738] ns</w:t>
            </w:r>
          </w:p>
        </w:tc>
      </w:tr>
      <w:tr>
        <w:tc>
          <w:tcPr>
            <w:tcW w:type="dxa" w:w="1728"/>
          </w:tcPr>
          <w:p>
            <w:r>
              <w:t>ToT</w:t>
            </w:r>
          </w:p>
        </w:tc>
        <w:tc>
          <w:tcPr>
            <w:tcW w:type="dxa" w:w="1728"/>
          </w:tcPr>
          <w:p>
            <w:r>
              <w:t>v6</w:t>
            </w:r>
          </w:p>
        </w:tc>
        <w:tc>
          <w:tcPr>
            <w:tcW w:type="dxa" w:w="1728"/>
          </w:tcPr>
          <w:p>
            <w:r>
              <w:t>−0.657% [−2.378, +1.063] ns</w:t>
            </w:r>
          </w:p>
        </w:tc>
        <w:tc>
          <w:tcPr>
            <w:tcW w:type="dxa" w:w="1728"/>
          </w:tcPr>
          <w:p>
            <w:r>
              <w:t>−0.819% [−2.366, +0.728] ns</w:t>
            </w:r>
          </w:p>
        </w:tc>
        <w:tc>
          <w:tcPr>
            <w:tcW w:type="dxa" w:w="1728"/>
          </w:tcPr>
          <w:p>
            <w:r>
              <w:t>−0.080% [−1.187, +1.026] ns</w:t>
            </w:r>
          </w:p>
        </w:tc>
      </w:tr>
    </w:tbl>
    <w:p/>
    <w:p>
      <w:pPr/>
      <w:r>
        <w:t>On the treated ABF2 titles v5b is +3.653% sig (ITT), +2.115% sig (Active), +2.125% sig (ToT). v4 and v6 are not significant on-title in any population. On-title TVT flat for all arms.</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~0.2%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6,269,291</w:t>
            </w:r>
          </w:p>
        </w:tc>
        <w:tc>
          <w:tcPr>
            <w:tcW w:type="dxa" w:w="1728"/>
          </w:tcPr>
          <w:p>
            <w:r>
              <w:t>−0.512% [−1.562, +0.538]</w:t>
            </w:r>
          </w:p>
        </w:tc>
        <w:tc>
          <w:tcPr>
            <w:tcW w:type="dxa" w:w="1728"/>
          </w:tcPr>
          <w:p>
            <w:r>
              <w:t>No</w:t>
            </w:r>
          </w:p>
        </w:tc>
      </w:tr>
      <w:tr>
        <w:tc>
          <w:tcPr>
            <w:tcW w:type="dxa" w:w="1728"/>
          </w:tcPr>
          <w:p>
            <w:r>
              <w:t>Non-power viewers</w:t>
            </w:r>
          </w:p>
        </w:tc>
        <w:tc>
          <w:tcPr>
            <w:tcW w:type="dxa" w:w="1728"/>
          </w:tcPr>
          <w:p>
            <w:r>
              <w:t>v5b</w:t>
            </w:r>
          </w:p>
        </w:tc>
        <w:tc>
          <w:tcPr>
            <w:tcW w:type="dxa" w:w="1728"/>
          </w:tcPr>
          <w:p>
            <w:r>
              <w:t>6,264,274</w:t>
            </w:r>
          </w:p>
        </w:tc>
        <w:tc>
          <w:tcPr>
            <w:tcW w:type="dxa" w:w="1728"/>
          </w:tcPr>
          <w:p>
            <w:r>
              <w:t>−0.317% [−1.364, +0.730]</w:t>
            </w:r>
          </w:p>
        </w:tc>
        <w:tc>
          <w:tcPr>
            <w:tcW w:type="dxa" w:w="1728"/>
          </w:tcPr>
          <w:p>
            <w:r>
              <w:t>No</w:t>
            </w:r>
          </w:p>
        </w:tc>
      </w:tr>
      <w:tr>
        <w:tc>
          <w:tcPr>
            <w:tcW w:type="dxa" w:w="1728"/>
          </w:tcPr>
          <w:p>
            <w:r>
              <w:t>Non-power viewers</w:t>
            </w:r>
          </w:p>
        </w:tc>
        <w:tc>
          <w:tcPr>
            <w:tcW w:type="dxa" w:w="1728"/>
          </w:tcPr>
          <w:p>
            <w:r>
              <w:t>v6</w:t>
            </w:r>
          </w:p>
        </w:tc>
        <w:tc>
          <w:tcPr>
            <w:tcW w:type="dxa" w:w="1728"/>
          </w:tcPr>
          <w:p>
            <w:r>
              <w:t>6,264,661</w:t>
            </w:r>
          </w:p>
        </w:tc>
        <w:tc>
          <w:tcPr>
            <w:tcW w:type="dxa" w:w="1728"/>
          </w:tcPr>
          <w:p>
            <w:r>
              <w:t>−0.605% [−1.655, +0.444]</w:t>
            </w:r>
          </w:p>
        </w:tc>
        <w:tc>
          <w:tcPr>
            <w:tcW w:type="dxa" w:w="1728"/>
          </w:tcPr>
          <w:p>
            <w:r>
              <w:t>No</w:t>
            </w:r>
          </w:p>
        </w:tc>
      </w:tr>
      <w:tr>
        <w:tc>
          <w:tcPr>
            <w:tcW w:type="dxa" w:w="1728"/>
          </w:tcPr>
          <w:p>
            <w:r>
              <w:t>Power viewers</w:t>
            </w:r>
          </w:p>
        </w:tc>
        <w:tc>
          <w:tcPr>
            <w:tcW w:type="dxa" w:w="1728"/>
          </w:tcPr>
          <w:p>
            <w:r>
              <w:t>v4</w:t>
            </w:r>
          </w:p>
        </w:tc>
        <w:tc>
          <w:tcPr>
            <w:tcW w:type="dxa" w:w="1728"/>
          </w:tcPr>
          <w:p>
            <w:r>
              <w:t>15,720</w:t>
            </w:r>
          </w:p>
        </w:tc>
        <w:tc>
          <w:tcPr>
            <w:tcW w:type="dxa" w:w="1728"/>
          </w:tcPr>
          <w:p>
            <w:r>
              <w:t>+0.622% [−0.825, +2.069]</w:t>
            </w:r>
          </w:p>
        </w:tc>
        <w:tc>
          <w:tcPr>
            <w:tcW w:type="dxa" w:w="1728"/>
          </w:tcPr>
          <w:p>
            <w:r>
              <w:t>No</w:t>
            </w:r>
          </w:p>
        </w:tc>
      </w:tr>
      <w:tr>
        <w:tc>
          <w:tcPr>
            <w:tcW w:type="dxa" w:w="1728"/>
          </w:tcPr>
          <w:p>
            <w:r>
              <w:t>Power viewers</w:t>
            </w:r>
          </w:p>
        </w:tc>
        <w:tc>
          <w:tcPr>
            <w:tcW w:type="dxa" w:w="1728"/>
          </w:tcPr>
          <w:p>
            <w:r>
              <w:t>v5b</w:t>
            </w:r>
          </w:p>
        </w:tc>
        <w:tc>
          <w:tcPr>
            <w:tcW w:type="dxa" w:w="1728"/>
          </w:tcPr>
          <w:p>
            <w:r>
              <w:t>15,652</w:t>
            </w:r>
          </w:p>
        </w:tc>
        <w:tc>
          <w:tcPr>
            <w:tcW w:type="dxa" w:w="1728"/>
          </w:tcPr>
          <w:p>
            <w:r>
              <w:t>+1.014% [−0.435, +2.463]</w:t>
            </w:r>
          </w:p>
        </w:tc>
        <w:tc>
          <w:tcPr>
            <w:tcW w:type="dxa" w:w="1728"/>
          </w:tcPr>
          <w:p>
            <w:r>
              <w:t>No</w:t>
            </w:r>
          </w:p>
        </w:tc>
      </w:tr>
      <w:tr>
        <w:tc>
          <w:tcPr>
            <w:tcW w:type="dxa" w:w="1728"/>
          </w:tcPr>
          <w:p>
            <w:r>
              <w:t>Power viewers</w:t>
            </w:r>
          </w:p>
        </w:tc>
        <w:tc>
          <w:tcPr>
            <w:tcW w:type="dxa" w:w="1728"/>
          </w:tcPr>
          <w:p>
            <w:r>
              <w:t>v6</w:t>
            </w:r>
          </w:p>
        </w:tc>
        <w:tc>
          <w:tcPr>
            <w:tcW w:type="dxa" w:w="1728"/>
          </w:tcPr>
          <w:p>
            <w:r>
              <w:t>15,372</w:t>
            </w:r>
          </w:p>
        </w:tc>
        <w:tc>
          <w:tcPr>
            <w:tcW w:type="dxa" w:w="1728"/>
          </w:tcPr>
          <w:p>
            <w:r>
              <w:t>+1.169% [−0.288, +2.627]</w:t>
            </w:r>
          </w:p>
        </w:tc>
        <w:tc>
          <w:tcPr>
            <w:tcW w:type="dxa" w:w="1728"/>
          </w:tcPr>
          <w:p>
            <w:r>
              <w:t>No</w:t>
            </w:r>
          </w:p>
        </w:tc>
      </w:tr>
    </w:tbl>
    <w:p/>
    <w:p>
      <w:pPr/>
      <w:r>
        <w:t>Control n: non-power 6,268,431 · power 15,611. No TVT move is significant for either viewer type. Power viewers are rare on web (~0.25%), so that row is very wide.</w:t>
      </w:r>
    </w:p>
    <w:p>
      <w:pPr>
        <w:pStyle w:val="Heading1"/>
      </w:pPr>
      <w:r>
        <w:t>2. Where the result lives</w:t>
      </w:r>
    </w:p>
    <w:p>
      <w:pPr/>
      <w:r>
        <w:t>Band and movie/episode numbers below are raw device-level Welch lifts (unbudgeted revenue/impressions, not CUPED), among devices who watched at least one treated title in that band or type during the window. The same device can appear in more than one band.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−3.12% [−7.52, +1.28] ns</w:t>
            </w:r>
          </w:p>
        </w:tc>
        <w:tc>
          <w:tcPr>
            <w:tcW w:type="dxa" w:w="1440"/>
          </w:tcPr>
          <w:p>
            <w:r>
              <w:t>−0.24% ns</w:t>
            </w:r>
          </w:p>
        </w:tc>
        <w:tc>
          <w:tcPr>
            <w:tcW w:type="dxa" w:w="1440"/>
          </w:tcPr>
          <w:p>
            <w:r>
              <w:t>−3.49% [−7.62, +0.64] ns</w:t>
            </w:r>
          </w:p>
        </w:tc>
        <w:tc>
          <w:tcPr>
            <w:tcW w:type="dxa" w:w="1440"/>
          </w:tcPr>
          <w:p>
            <w:r>
              <w:t>81,631</w:t>
            </w:r>
          </w:p>
        </w:tc>
      </w:tr>
      <w:tr>
        <w:tc>
          <w:tcPr>
            <w:tcW w:type="dxa" w:w="1440"/>
          </w:tcPr>
          <w:p>
            <w:r>
              <w:t>1–3</w:t>
            </w:r>
          </w:p>
        </w:tc>
        <w:tc>
          <w:tcPr>
            <w:tcW w:type="dxa" w:w="1440"/>
          </w:tcPr>
          <w:p>
            <w:r>
              <w:t>v5b</w:t>
            </w:r>
          </w:p>
        </w:tc>
        <w:tc>
          <w:tcPr>
            <w:tcW w:type="dxa" w:w="1440"/>
          </w:tcPr>
          <w:p>
            <w:r>
              <w:t>+8.71% [+3.93, +13.48] sig</w:t>
            </w:r>
          </w:p>
        </w:tc>
        <w:tc>
          <w:tcPr>
            <w:tcW w:type="dxa" w:w="1440"/>
          </w:tcPr>
          <w:p>
            <w:r>
              <w:t>+0.47% ns</w:t>
            </w:r>
          </w:p>
        </w:tc>
        <w:tc>
          <w:tcPr>
            <w:tcW w:type="dxa" w:w="1440"/>
          </w:tcPr>
          <w:p>
            <w:r>
              <w:t>+8.63% [+4.22, +13.03] sig</w:t>
            </w:r>
          </w:p>
        </w:tc>
        <w:tc>
          <w:tcPr>
            <w:tcW w:type="dxa" w:w="1440"/>
          </w:tcPr>
          <w:p>
            <w:r>
              <w:t>81,336</w:t>
            </w:r>
          </w:p>
        </w:tc>
      </w:tr>
      <w:tr>
        <w:tc>
          <w:tcPr>
            <w:tcW w:type="dxa" w:w="1440"/>
          </w:tcPr>
          <w:p>
            <w:r>
              <w:t>1–3</w:t>
            </w:r>
          </w:p>
        </w:tc>
        <w:tc>
          <w:tcPr>
            <w:tcW w:type="dxa" w:w="1440"/>
          </w:tcPr>
          <w:p>
            <w:r>
              <w:t>v6</w:t>
            </w:r>
          </w:p>
        </w:tc>
        <w:tc>
          <w:tcPr>
            <w:tcW w:type="dxa" w:w="1440"/>
          </w:tcPr>
          <w:p>
            <w:r>
              <w:t>−7.84% [−12.12, −3.56] sig</w:t>
            </w:r>
          </w:p>
        </w:tc>
        <w:tc>
          <w:tcPr>
            <w:tcW w:type="dxa" w:w="1440"/>
          </w:tcPr>
          <w:p>
            <w:r>
              <w:t>−2.25% ns</w:t>
            </w:r>
          </w:p>
        </w:tc>
        <w:tc>
          <w:tcPr>
            <w:tcW w:type="dxa" w:w="1440"/>
          </w:tcPr>
          <w:p>
            <w:r>
              <w:t>−8.04% [−12.09, −3.99] sig</w:t>
            </w:r>
          </w:p>
        </w:tc>
        <w:tc>
          <w:tcPr>
            <w:tcW w:type="dxa" w:w="1440"/>
          </w:tcPr>
          <w:p>
            <w:r>
              <w:t>80,935</w:t>
            </w:r>
          </w:p>
        </w:tc>
      </w:tr>
      <w:tr>
        <w:tc>
          <w:tcPr>
            <w:tcW w:type="dxa" w:w="1440"/>
          </w:tcPr>
          <w:p>
            <w:r>
              <w:t>4–6</w:t>
            </w:r>
          </w:p>
        </w:tc>
        <w:tc>
          <w:tcPr>
            <w:tcW w:type="dxa" w:w="1440"/>
          </w:tcPr>
          <w:p>
            <w:r>
              <w:t>v4</w:t>
            </w:r>
          </w:p>
        </w:tc>
        <w:tc>
          <w:tcPr>
            <w:tcW w:type="dxa" w:w="1440"/>
          </w:tcPr>
          <w:p>
            <w:r>
              <w:t>+0.60% [−3.35, +4.55] ns</w:t>
            </w:r>
          </w:p>
        </w:tc>
        <w:tc>
          <w:tcPr>
            <w:tcW w:type="dxa" w:w="1440"/>
          </w:tcPr>
          <w:p>
            <w:r>
              <w:t>+1.38% ns</w:t>
            </w:r>
          </w:p>
        </w:tc>
        <w:tc>
          <w:tcPr>
            <w:tcW w:type="dxa" w:w="1440"/>
          </w:tcPr>
          <w:p>
            <w:r>
              <w:t>+0.29% [−3.18, +3.76] ns</w:t>
            </w:r>
          </w:p>
        </w:tc>
        <w:tc>
          <w:tcPr>
            <w:tcW w:type="dxa" w:w="1440"/>
          </w:tcPr>
          <w:p>
            <w:r>
              <w:t>93,696</w:t>
            </w:r>
          </w:p>
        </w:tc>
      </w:tr>
      <w:tr>
        <w:tc>
          <w:tcPr>
            <w:tcW w:type="dxa" w:w="1440"/>
          </w:tcPr>
          <w:p>
            <w:r>
              <w:t>4–6</w:t>
            </w:r>
          </w:p>
        </w:tc>
        <w:tc>
          <w:tcPr>
            <w:tcW w:type="dxa" w:w="1440"/>
          </w:tcPr>
          <w:p>
            <w:r>
              <w:t>v5b</w:t>
            </w:r>
          </w:p>
        </w:tc>
        <w:tc>
          <w:tcPr>
            <w:tcW w:type="dxa" w:w="1440"/>
          </w:tcPr>
          <w:p>
            <w:r>
              <w:t>+5.72% [+1.70, +9.74] sig</w:t>
            </w:r>
          </w:p>
        </w:tc>
        <w:tc>
          <w:tcPr>
            <w:tcW w:type="dxa" w:w="1440"/>
          </w:tcPr>
          <w:p>
            <w:r>
              <w:t>+0.26% ns</w:t>
            </w:r>
          </w:p>
        </w:tc>
        <w:tc>
          <w:tcPr>
            <w:tcW w:type="dxa" w:w="1440"/>
          </w:tcPr>
          <w:p>
            <w:r>
              <w:t>+5.87% [+2.29, +9.44] sig</w:t>
            </w:r>
          </w:p>
        </w:tc>
        <w:tc>
          <w:tcPr>
            <w:tcW w:type="dxa" w:w="1440"/>
          </w:tcPr>
          <w:p>
            <w:r>
              <w:t>93,164</w:t>
            </w:r>
          </w:p>
        </w:tc>
      </w:tr>
      <w:tr>
        <w:tc>
          <w:tcPr>
            <w:tcW w:type="dxa" w:w="1440"/>
          </w:tcPr>
          <w:p>
            <w:r>
              <w:t>4–6</w:t>
            </w:r>
          </w:p>
        </w:tc>
        <w:tc>
          <w:tcPr>
            <w:tcW w:type="dxa" w:w="1440"/>
          </w:tcPr>
          <w:p>
            <w:r>
              <w:t>v6</w:t>
            </w:r>
          </w:p>
        </w:tc>
        <w:tc>
          <w:tcPr>
            <w:tcW w:type="dxa" w:w="1440"/>
          </w:tcPr>
          <w:p>
            <w:r>
              <w:t>+0.61% [−3.58, +4.80] ns</w:t>
            </w:r>
          </w:p>
        </w:tc>
        <w:tc>
          <w:tcPr>
            <w:tcW w:type="dxa" w:w="1440"/>
          </w:tcPr>
          <w:p>
            <w:r>
              <w:t>+1.36% ns</w:t>
            </w:r>
          </w:p>
        </w:tc>
        <w:tc>
          <w:tcPr>
            <w:tcW w:type="dxa" w:w="1440"/>
          </w:tcPr>
          <w:p>
            <w:r>
              <w:t>−0.29% [−3.85, +3.28] ns</w:t>
            </w:r>
          </w:p>
        </w:tc>
        <w:tc>
          <w:tcPr>
            <w:tcW w:type="dxa" w:w="1440"/>
          </w:tcPr>
          <w:p>
            <w:r>
              <w:t>93,010</w:t>
            </w:r>
          </w:p>
        </w:tc>
      </w:tr>
      <w:tr>
        <w:tc>
          <w:tcPr>
            <w:tcW w:type="dxa" w:w="1440"/>
          </w:tcPr>
          <w:p>
            <w:r>
              <w:t>7–9</w:t>
            </w:r>
          </w:p>
        </w:tc>
        <w:tc>
          <w:tcPr>
            <w:tcW w:type="dxa" w:w="1440"/>
          </w:tcPr>
          <w:p>
            <w:r>
              <w:t>v4</w:t>
            </w:r>
          </w:p>
        </w:tc>
        <w:tc>
          <w:tcPr>
            <w:tcW w:type="dxa" w:w="1440"/>
          </w:tcPr>
          <w:p>
            <w:r>
              <w:t>−1.68% [−5.29, +1.94] ns</w:t>
            </w:r>
          </w:p>
        </w:tc>
        <w:tc>
          <w:tcPr>
            <w:tcW w:type="dxa" w:w="1440"/>
          </w:tcPr>
          <w:p>
            <w:r>
              <w:t>−0.16% ns</w:t>
            </w:r>
          </w:p>
        </w:tc>
        <w:tc>
          <w:tcPr>
            <w:tcW w:type="dxa" w:w="1440"/>
          </w:tcPr>
          <w:p>
            <w:r>
              <w:t>−1.88% [−5.28, +1.51] ns</w:t>
            </w:r>
          </w:p>
        </w:tc>
        <w:tc>
          <w:tcPr>
            <w:tcW w:type="dxa" w:w="1440"/>
          </w:tcPr>
          <w:p>
            <w:r>
              <w:t>136,059</w:t>
            </w:r>
          </w:p>
        </w:tc>
      </w:tr>
      <w:tr>
        <w:tc>
          <w:tcPr>
            <w:tcW w:type="dxa" w:w="1440"/>
          </w:tcPr>
          <w:p>
            <w:r>
              <w:t>7–9</w:t>
            </w:r>
          </w:p>
        </w:tc>
        <w:tc>
          <w:tcPr>
            <w:tcW w:type="dxa" w:w="1440"/>
          </w:tcPr>
          <w:p>
            <w:r>
              <w:t>v5b</w:t>
            </w:r>
          </w:p>
        </w:tc>
        <w:tc>
          <w:tcPr>
            <w:tcW w:type="dxa" w:w="1440"/>
          </w:tcPr>
          <w:p>
            <w:r>
              <w:t>+0.59% [−3.23, +4.42] ns</w:t>
            </w:r>
          </w:p>
        </w:tc>
        <w:tc>
          <w:tcPr>
            <w:tcW w:type="dxa" w:w="1440"/>
          </w:tcPr>
          <w:p>
            <w:r>
              <w:t>−1.65% ns</w:t>
            </w:r>
          </w:p>
        </w:tc>
        <w:tc>
          <w:tcPr>
            <w:tcW w:type="dxa" w:w="1440"/>
          </w:tcPr>
          <w:p>
            <w:r>
              <w:t>+0.19% [−3.28, +3.66] ns</w:t>
            </w:r>
          </w:p>
        </w:tc>
        <w:tc>
          <w:tcPr>
            <w:tcW w:type="dxa" w:w="1440"/>
          </w:tcPr>
          <w:p>
            <w:r>
              <w:t>135,440</w:t>
            </w:r>
          </w:p>
        </w:tc>
      </w:tr>
      <w:tr>
        <w:tc>
          <w:tcPr>
            <w:tcW w:type="dxa" w:w="1440"/>
          </w:tcPr>
          <w:p>
            <w:r>
              <w:t>7–9</w:t>
            </w:r>
          </w:p>
        </w:tc>
        <w:tc>
          <w:tcPr>
            <w:tcW w:type="dxa" w:w="1440"/>
          </w:tcPr>
          <w:p>
            <w:r>
              <w:t>v6</w:t>
            </w:r>
          </w:p>
        </w:tc>
        <w:tc>
          <w:tcPr>
            <w:tcW w:type="dxa" w:w="1440"/>
          </w:tcPr>
          <w:p>
            <w:r>
              <w:t>−0.23% [−4.01, +3.56] ns</w:t>
            </w:r>
          </w:p>
        </w:tc>
        <w:tc>
          <w:tcPr>
            <w:tcW w:type="dxa" w:w="1440"/>
          </w:tcPr>
          <w:p>
            <w:r>
              <w:t>−1.45% ns</w:t>
            </w:r>
          </w:p>
        </w:tc>
        <w:tc>
          <w:tcPr>
            <w:tcW w:type="dxa" w:w="1440"/>
          </w:tcPr>
          <w:p>
            <w:r>
              <w:t>−0.36% [−3.82, +3.10] ns</w:t>
            </w:r>
          </w:p>
        </w:tc>
        <w:tc>
          <w:tcPr>
            <w:tcW w:type="dxa" w:w="1440"/>
          </w:tcPr>
          <w:p>
            <w:r>
              <w:t>135,298</w:t>
            </w:r>
          </w:p>
        </w:tc>
      </w:tr>
      <w:tr>
        <w:tc>
          <w:tcPr>
            <w:tcW w:type="dxa" w:w="1440"/>
          </w:tcPr>
          <w:p>
            <w:r>
              <w:t>10–12</w:t>
            </w:r>
          </w:p>
        </w:tc>
        <w:tc>
          <w:tcPr>
            <w:tcW w:type="dxa" w:w="1440"/>
          </w:tcPr>
          <w:p>
            <w:r>
              <w:t>v4</w:t>
            </w:r>
          </w:p>
        </w:tc>
        <w:tc>
          <w:tcPr>
            <w:tcW w:type="dxa" w:w="1440"/>
          </w:tcPr>
          <w:p>
            <w:r>
              <w:t>+3.06% [+0.04, +6.08] sig</w:t>
            </w:r>
          </w:p>
        </w:tc>
        <w:tc>
          <w:tcPr>
            <w:tcW w:type="dxa" w:w="1440"/>
          </w:tcPr>
          <w:p>
            <w:r>
              <w:t>+0.51% ns</w:t>
            </w:r>
          </w:p>
        </w:tc>
        <w:tc>
          <w:tcPr>
            <w:tcW w:type="dxa" w:w="1440"/>
          </w:tcPr>
          <w:p>
            <w:r>
              <w:t>+2.33% [−0.31, +4.97] ns</w:t>
            </w:r>
          </w:p>
        </w:tc>
        <w:tc>
          <w:tcPr>
            <w:tcW w:type="dxa" w:w="1440"/>
          </w:tcPr>
          <w:p>
            <w:r>
              <w:t>160,200</w:t>
            </w:r>
          </w:p>
        </w:tc>
      </w:tr>
      <w:tr>
        <w:tc>
          <w:tcPr>
            <w:tcW w:type="dxa" w:w="1440"/>
          </w:tcPr>
          <w:p>
            <w:r>
              <w:t>10–12</w:t>
            </w:r>
          </w:p>
        </w:tc>
        <w:tc>
          <w:tcPr>
            <w:tcW w:type="dxa" w:w="1440"/>
          </w:tcPr>
          <w:p>
            <w:r>
              <w:t>v5b</w:t>
            </w:r>
          </w:p>
        </w:tc>
        <w:tc>
          <w:tcPr>
            <w:tcW w:type="dxa" w:w="1440"/>
          </w:tcPr>
          <w:p>
            <w:r>
              <w:t>+2.36% [−0.43, +5.14] ns</w:t>
            </w:r>
          </w:p>
        </w:tc>
        <w:tc>
          <w:tcPr>
            <w:tcW w:type="dxa" w:w="1440"/>
          </w:tcPr>
          <w:p>
            <w:r>
              <w:t>−0.17% ns</w:t>
            </w:r>
          </w:p>
        </w:tc>
        <w:tc>
          <w:tcPr>
            <w:tcW w:type="dxa" w:w="1440"/>
          </w:tcPr>
          <w:p>
            <w:r>
              <w:t>+2.22% [−0.33, +4.78] ns</w:t>
            </w:r>
          </w:p>
        </w:tc>
        <w:tc>
          <w:tcPr>
            <w:tcW w:type="dxa" w:w="1440"/>
          </w:tcPr>
          <w:p>
            <w:r>
              <w:t>160,917</w:t>
            </w:r>
          </w:p>
        </w:tc>
      </w:tr>
      <w:tr>
        <w:tc>
          <w:tcPr>
            <w:tcW w:type="dxa" w:w="1440"/>
          </w:tcPr>
          <w:p>
            <w:r>
              <w:t>10–12</w:t>
            </w:r>
          </w:p>
        </w:tc>
        <w:tc>
          <w:tcPr>
            <w:tcW w:type="dxa" w:w="1440"/>
          </w:tcPr>
          <w:p>
            <w:r>
              <w:t>v6</w:t>
            </w:r>
          </w:p>
        </w:tc>
        <w:tc>
          <w:tcPr>
            <w:tcW w:type="dxa" w:w="1440"/>
          </w:tcPr>
          <w:p>
            <w:r>
              <w:t>+5.47% [+2.66, +8.29] sig</w:t>
            </w:r>
          </w:p>
        </w:tc>
        <w:tc>
          <w:tcPr>
            <w:tcW w:type="dxa" w:w="1440"/>
          </w:tcPr>
          <w:p>
            <w:r>
              <w:t>−0.07% ns</w:t>
            </w:r>
          </w:p>
        </w:tc>
        <w:tc>
          <w:tcPr>
            <w:tcW w:type="dxa" w:w="1440"/>
          </w:tcPr>
          <w:p>
            <w:r>
              <w:t>+5.52% [+2.92, +8.12] sig</w:t>
            </w:r>
          </w:p>
        </w:tc>
        <w:tc>
          <w:tcPr>
            <w:tcW w:type="dxa" w:w="1440"/>
          </w:tcPr>
          <w:p>
            <w:r>
              <w:t>158,835</w:t>
            </w:r>
          </w:p>
        </w:tc>
      </w:tr>
      <w:tr>
        <w:tc>
          <w:tcPr>
            <w:tcW w:type="dxa" w:w="1440"/>
          </w:tcPr>
          <w:p>
            <w:r>
              <w:t>13+</w:t>
            </w:r>
          </w:p>
        </w:tc>
        <w:tc>
          <w:tcPr>
            <w:tcW w:type="dxa" w:w="1440"/>
          </w:tcPr>
          <w:p>
            <w:r>
              <w:t>v4</w:t>
            </w:r>
          </w:p>
        </w:tc>
        <w:tc>
          <w:tcPr>
            <w:tcW w:type="dxa" w:w="1440"/>
          </w:tcPr>
          <w:p>
            <w:r>
              <w:t>−0.76% [−3.11, +1.60] ns</w:t>
            </w:r>
          </w:p>
        </w:tc>
        <w:tc>
          <w:tcPr>
            <w:tcW w:type="dxa" w:w="1440"/>
          </w:tcPr>
          <w:p>
            <w:r>
              <w:t>+0.69% ns</w:t>
            </w:r>
          </w:p>
        </w:tc>
        <w:tc>
          <w:tcPr>
            <w:tcW w:type="dxa" w:w="1440"/>
          </w:tcPr>
          <w:p>
            <w:r>
              <w:t>−0.89% [−2.94, +1.17] ns</w:t>
            </w:r>
          </w:p>
        </w:tc>
        <w:tc>
          <w:tcPr>
            <w:tcW w:type="dxa" w:w="1440"/>
          </w:tcPr>
          <w:p>
            <w:r>
              <w:t>245,186</w:t>
            </w:r>
          </w:p>
        </w:tc>
      </w:tr>
      <w:tr>
        <w:tc>
          <w:tcPr>
            <w:tcW w:type="dxa" w:w="1440"/>
          </w:tcPr>
          <w:p>
            <w:r>
              <w:t>13+</w:t>
            </w:r>
          </w:p>
        </w:tc>
        <w:tc>
          <w:tcPr>
            <w:tcW w:type="dxa" w:w="1440"/>
          </w:tcPr>
          <w:p>
            <w:r>
              <w:t>v5b</w:t>
            </w:r>
          </w:p>
        </w:tc>
        <w:tc>
          <w:tcPr>
            <w:tcW w:type="dxa" w:w="1440"/>
          </w:tcPr>
          <w:p>
            <w:r>
              <w:t>−0.50% [−2.79, +1.80] ns</w:t>
            </w:r>
          </w:p>
        </w:tc>
        <w:tc>
          <w:tcPr>
            <w:tcW w:type="dxa" w:w="1440"/>
          </w:tcPr>
          <w:p>
            <w:r>
              <w:t>+1.13% ns</w:t>
            </w:r>
          </w:p>
        </w:tc>
        <w:tc>
          <w:tcPr>
            <w:tcW w:type="dxa" w:w="1440"/>
          </w:tcPr>
          <w:p>
            <w:r>
              <w:t>−0.15% [−2.22, +1.92] ns</w:t>
            </w:r>
          </w:p>
        </w:tc>
        <w:tc>
          <w:tcPr>
            <w:tcW w:type="dxa" w:w="1440"/>
          </w:tcPr>
          <w:p>
            <w:r>
              <w:t>244,315</w:t>
            </w:r>
          </w:p>
        </w:tc>
      </w:tr>
      <w:tr>
        <w:tc>
          <w:tcPr>
            <w:tcW w:type="dxa" w:w="1440"/>
          </w:tcPr>
          <w:p>
            <w:r>
              <w:t>13+</w:t>
            </w:r>
          </w:p>
        </w:tc>
        <w:tc>
          <w:tcPr>
            <w:tcW w:type="dxa" w:w="1440"/>
          </w:tcPr>
          <w:p>
            <w:r>
              <w:t>v6</w:t>
            </w:r>
          </w:p>
        </w:tc>
        <w:tc>
          <w:tcPr>
            <w:tcW w:type="dxa" w:w="1440"/>
          </w:tcPr>
          <w:p>
            <w:r>
              <w:t>+1.55% [−0.85, +3.95] ns</w:t>
            </w:r>
          </w:p>
        </w:tc>
        <w:tc>
          <w:tcPr>
            <w:tcW w:type="dxa" w:w="1440"/>
          </w:tcPr>
          <w:p>
            <w:r>
              <w:t>+0.69% ns</w:t>
            </w:r>
          </w:p>
        </w:tc>
        <w:tc>
          <w:tcPr>
            <w:tcW w:type="dxa" w:w="1440"/>
          </w:tcPr>
          <w:p>
            <w:r>
              <w:t>+1.99% [−0.20, +4.19] ns</w:t>
            </w:r>
          </w:p>
        </w:tc>
        <w:tc>
          <w:tcPr>
            <w:tcW w:type="dxa" w:w="1440"/>
          </w:tcPr>
          <w:p>
            <w:r>
              <w:t>243,549</w:t>
            </w:r>
          </w:p>
        </w:tc>
      </w:tr>
    </w:tbl>
    <w:p/>
    <w:p>
      <w:pPr/>
      <w:r>
        <w:t>Control n by band: 1–3 81,266 · 4–6 93,515 · 7–9 135,180 · 10–12 159,719 · 13+ 245,392.</w:t>
      </w:r>
    </w:p>
    <w:p>
      <w:pPr>
        <w:pStyle w:val="ListBullet"/>
      </w:pPr>
      <w:r>
        <w:t>v5b gains in the sparse bands: 1–3 +8.71% sig, 4–6 +5.72% sig. v6 loses at 1–3 (−7.84% sig).</w:t>
      </w:r>
    </w:p>
    <w:p>
      <w:pPr>
        <w:pStyle w:val="ListBullet"/>
      </w:pPr>
      <w:r>
        <w:t>10–12 is positive on v6 (+5.47% sig) and v4 (+3.06% sig, lower bound just above zero); v5b +2.36% ns.</w:t>
      </w:r>
    </w:p>
    <w:p>
      <w:pPr>
        <w:pStyle w:val="ListBullet"/>
      </w:pPr>
      <w:r>
        <w:t>7–9 and 13+ are not significant for any arm. Band cells on web are small (81–245K devices), so only large moves clear zero.</w:t>
      </w:r>
    </w:p>
    <w:p>
      <w:pPr>
        <w:pStyle w:val="ListBullet"/>
      </w:pPr>
      <w:r>
        <w:t>TVT is flat in every band.</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−9.62% [−15.10, −4.14] sig</w:t>
            </w:r>
          </w:p>
        </w:tc>
        <w:tc>
          <w:tcPr>
            <w:tcW w:type="dxa" w:w="1728"/>
          </w:tcPr>
          <w:p>
            <w:r>
              <w:t>−0.21% ns</w:t>
            </w:r>
          </w:p>
        </w:tc>
      </w:tr>
      <w:tr>
        <w:tc>
          <w:tcPr>
            <w:tcW w:type="dxa" w:w="1728"/>
          </w:tcPr>
          <w:p>
            <w:r>
              <w:t>10–12</w:t>
            </w:r>
          </w:p>
        </w:tc>
        <w:tc>
          <w:tcPr>
            <w:tcW w:type="dxa" w:w="1728"/>
          </w:tcPr>
          <w:p>
            <w:r>
              <w:t>below control</w:t>
            </w:r>
          </w:p>
        </w:tc>
        <w:tc>
          <w:tcPr>
            <w:tcW w:type="dxa" w:w="1728"/>
          </w:tcPr>
          <w:p>
            <w:r>
              <w:t>v5b</w:t>
            </w:r>
          </w:p>
        </w:tc>
        <w:tc>
          <w:tcPr>
            <w:tcW w:type="dxa" w:w="1728"/>
          </w:tcPr>
          <w:p>
            <w:r>
              <w:t>−4.27% [−12.87, +4.32] ns</w:t>
            </w:r>
          </w:p>
        </w:tc>
        <w:tc>
          <w:tcPr>
            <w:tcW w:type="dxa" w:w="1728"/>
          </w:tcPr>
          <w:p>
            <w:r>
              <w:t>−0.77% ns</w:t>
            </w:r>
          </w:p>
        </w:tc>
      </w:tr>
      <w:tr>
        <w:tc>
          <w:tcPr>
            <w:tcW w:type="dxa" w:w="1728"/>
          </w:tcPr>
          <w:p>
            <w:r>
              <w:t>10–12</w:t>
            </w:r>
          </w:p>
        </w:tc>
        <w:tc>
          <w:tcPr>
            <w:tcW w:type="dxa" w:w="1728"/>
          </w:tcPr>
          <w:p>
            <w:r>
              <w:t>below control</w:t>
            </w:r>
          </w:p>
        </w:tc>
        <w:tc>
          <w:tcPr>
            <w:tcW w:type="dxa" w:w="1728"/>
          </w:tcPr>
          <w:p>
            <w:r>
              <w:t>v6</w:t>
            </w:r>
          </w:p>
        </w:tc>
        <w:tc>
          <w:tcPr>
            <w:tcW w:type="dxa" w:w="1728"/>
          </w:tcPr>
          <w:p>
            <w:r>
              <w:t>−9.65% [−18.10, −1.21] sig</w:t>
            </w:r>
          </w:p>
        </w:tc>
        <w:tc>
          <w:tcPr>
            <w:tcW w:type="dxa" w:w="1728"/>
          </w:tcPr>
          <w:p>
            <w:r>
              <w:t>−0.33% ns</w:t>
            </w:r>
          </w:p>
        </w:tc>
      </w:tr>
      <w:tr>
        <w:tc>
          <w:tcPr>
            <w:tcW w:type="dxa" w:w="1728"/>
          </w:tcPr>
          <w:p>
            <w:r>
              <w:t>10–12</w:t>
            </w:r>
          </w:p>
        </w:tc>
        <w:tc>
          <w:tcPr>
            <w:tcW w:type="dxa" w:w="1728"/>
          </w:tcPr>
          <w:p>
            <w:r>
              <w:t>at/above control</w:t>
            </w:r>
          </w:p>
        </w:tc>
        <w:tc>
          <w:tcPr>
            <w:tcW w:type="dxa" w:w="1728"/>
          </w:tcPr>
          <w:p>
            <w:r>
              <w:t>v4</w:t>
            </w:r>
          </w:p>
        </w:tc>
        <w:tc>
          <w:tcPr>
            <w:tcW w:type="dxa" w:w="1728"/>
          </w:tcPr>
          <w:p>
            <w:r>
              <w:t>+8.85% [+5.50, +12.20] sig</w:t>
            </w:r>
          </w:p>
        </w:tc>
        <w:tc>
          <w:tcPr>
            <w:tcW w:type="dxa" w:w="1728"/>
          </w:tcPr>
          <w:p>
            <w:r>
              <w:t>+1.17% ns</w:t>
            </w:r>
          </w:p>
        </w:tc>
      </w:tr>
      <w:tr>
        <w:tc>
          <w:tcPr>
            <w:tcW w:type="dxa" w:w="1728"/>
          </w:tcPr>
          <w:p>
            <w:r>
              <w:t>10–12</w:t>
            </w:r>
          </w:p>
        </w:tc>
        <w:tc>
          <w:tcPr>
            <w:tcW w:type="dxa" w:w="1728"/>
          </w:tcPr>
          <w:p>
            <w:r>
              <w:t>at/above control</w:t>
            </w:r>
          </w:p>
        </w:tc>
        <w:tc>
          <w:tcPr>
            <w:tcW w:type="dxa" w:w="1728"/>
          </w:tcPr>
          <w:p>
            <w:r>
              <w:t>v5b</w:t>
            </w:r>
          </w:p>
        </w:tc>
        <w:tc>
          <w:tcPr>
            <w:tcW w:type="dxa" w:w="1728"/>
          </w:tcPr>
          <w:p>
            <w:r>
              <w:t>+4.51% [+1.47, +7.55] sig</w:t>
            </w:r>
          </w:p>
        </w:tc>
        <w:tc>
          <w:tcPr>
            <w:tcW w:type="dxa" w:w="1728"/>
          </w:tcPr>
          <w:p>
            <w:r>
              <w:t>+0.30% ns</w:t>
            </w:r>
          </w:p>
        </w:tc>
      </w:tr>
      <w:tr>
        <w:tc>
          <w:tcPr>
            <w:tcW w:type="dxa" w:w="1728"/>
          </w:tcPr>
          <w:p>
            <w:r>
              <w:t>10–12</w:t>
            </w:r>
          </w:p>
        </w:tc>
        <w:tc>
          <w:tcPr>
            <w:tcW w:type="dxa" w:w="1728"/>
          </w:tcPr>
          <w:p>
            <w:r>
              <w:t>at/above control</w:t>
            </w:r>
          </w:p>
        </w:tc>
        <w:tc>
          <w:tcPr>
            <w:tcW w:type="dxa" w:w="1728"/>
          </w:tcPr>
          <w:p>
            <w:r>
              <w:t>v6</w:t>
            </w:r>
          </w:p>
        </w:tc>
        <w:tc>
          <w:tcPr>
            <w:tcW w:type="dxa" w:w="1728"/>
          </w:tcPr>
          <w:p>
            <w:r>
              <w:t>+8.81% [+5.74, +11.88] sig</w:t>
            </w:r>
          </w:p>
        </w:tc>
        <w:tc>
          <w:tcPr>
            <w:tcW w:type="dxa" w:w="1728"/>
          </w:tcPr>
          <w:p>
            <w:r>
              <w:t>+0.35% ns</w:t>
            </w:r>
          </w:p>
        </w:tc>
      </w:tr>
      <w:tr>
        <w:tc>
          <w:tcPr>
            <w:tcW w:type="dxa" w:w="1728"/>
          </w:tcPr>
          <w:p>
            <w:r>
              <w:t>13+</w:t>
            </w:r>
          </w:p>
        </w:tc>
        <w:tc>
          <w:tcPr>
            <w:tcW w:type="dxa" w:w="1728"/>
          </w:tcPr>
          <w:p>
            <w:r>
              <w:t>below control</w:t>
            </w:r>
          </w:p>
        </w:tc>
        <w:tc>
          <w:tcPr>
            <w:tcW w:type="dxa" w:w="1728"/>
          </w:tcPr>
          <w:p>
            <w:r>
              <w:t>v4</w:t>
            </w:r>
          </w:p>
        </w:tc>
        <w:tc>
          <w:tcPr>
            <w:tcW w:type="dxa" w:w="1728"/>
          </w:tcPr>
          <w:p>
            <w:r>
              <w:t>−3.38% [−6.13, −0.63] sig</w:t>
            </w:r>
          </w:p>
        </w:tc>
        <w:tc>
          <w:tcPr>
            <w:tcW w:type="dxa" w:w="1728"/>
          </w:tcPr>
          <w:p>
            <w:r>
              <w:t>+0.21% ns</w:t>
            </w:r>
          </w:p>
        </w:tc>
      </w:tr>
      <w:tr>
        <w:tc>
          <w:tcPr>
            <w:tcW w:type="dxa" w:w="1728"/>
          </w:tcPr>
          <w:p>
            <w:r>
              <w:t>13+</w:t>
            </w:r>
          </w:p>
        </w:tc>
        <w:tc>
          <w:tcPr>
            <w:tcW w:type="dxa" w:w="1728"/>
          </w:tcPr>
          <w:p>
            <w:r>
              <w:t>below control</w:t>
            </w:r>
          </w:p>
        </w:tc>
        <w:tc>
          <w:tcPr>
            <w:tcW w:type="dxa" w:w="1728"/>
          </w:tcPr>
          <w:p>
            <w:r>
              <w:t>v5b</w:t>
            </w:r>
          </w:p>
        </w:tc>
        <w:tc>
          <w:tcPr>
            <w:tcW w:type="dxa" w:w="1728"/>
          </w:tcPr>
          <w:p>
            <w:r>
              <w:t>−2.68% [−5.70, +0.34] ns</w:t>
            </w:r>
          </w:p>
        </w:tc>
        <w:tc>
          <w:tcPr>
            <w:tcW w:type="dxa" w:w="1728"/>
          </w:tcPr>
          <w:p>
            <w:r>
              <w:t>+1.13% ns</w:t>
            </w:r>
          </w:p>
        </w:tc>
      </w:tr>
      <w:tr>
        <w:tc>
          <w:tcPr>
            <w:tcW w:type="dxa" w:w="1728"/>
          </w:tcPr>
          <w:p>
            <w:r>
              <w:t>13+</w:t>
            </w:r>
          </w:p>
        </w:tc>
        <w:tc>
          <w:tcPr>
            <w:tcW w:type="dxa" w:w="1728"/>
          </w:tcPr>
          <w:p>
            <w:r>
              <w:t>below control</w:t>
            </w:r>
          </w:p>
        </w:tc>
        <w:tc>
          <w:tcPr>
            <w:tcW w:type="dxa" w:w="1728"/>
          </w:tcPr>
          <w:p>
            <w:r>
              <w:t>v6</w:t>
            </w:r>
          </w:p>
        </w:tc>
        <w:tc>
          <w:tcPr>
            <w:tcW w:type="dxa" w:w="1728"/>
          </w:tcPr>
          <w:p>
            <w:r>
              <w:t>−3.10% [−6.50, +0.31] ns</w:t>
            </w:r>
          </w:p>
        </w:tc>
        <w:tc>
          <w:tcPr>
            <w:tcW w:type="dxa" w:w="1728"/>
          </w:tcPr>
          <w:p>
            <w:r>
              <w:t>+0.62% ns</w:t>
            </w:r>
          </w:p>
        </w:tc>
      </w:tr>
      <w:tr>
        <w:tc>
          <w:tcPr>
            <w:tcW w:type="dxa" w:w="1728"/>
          </w:tcPr>
          <w:p>
            <w:r>
              <w:t>13+</w:t>
            </w:r>
          </w:p>
        </w:tc>
        <w:tc>
          <w:tcPr>
            <w:tcW w:type="dxa" w:w="1728"/>
          </w:tcPr>
          <w:p>
            <w:r>
              <w:t>at/above control</w:t>
            </w:r>
          </w:p>
        </w:tc>
        <w:tc>
          <w:tcPr>
            <w:tcW w:type="dxa" w:w="1728"/>
          </w:tcPr>
          <w:p>
            <w:r>
              <w:t>v4</w:t>
            </w:r>
          </w:p>
        </w:tc>
        <w:tc>
          <w:tcPr>
            <w:tcW w:type="dxa" w:w="1728"/>
          </w:tcPr>
          <w:p>
            <w:r>
              <w:t>+3.25% [−0.05, +6.54] ns</w:t>
            </w:r>
          </w:p>
        </w:tc>
        <w:tc>
          <w:tcPr>
            <w:tcW w:type="dxa" w:w="1728"/>
          </w:tcPr>
          <w:p>
            <w:r>
              <w:t>+0.82% ns</w:t>
            </w:r>
          </w:p>
        </w:tc>
      </w:tr>
      <w:tr>
        <w:tc>
          <w:tcPr>
            <w:tcW w:type="dxa" w:w="1728"/>
          </w:tcPr>
          <w:p>
            <w:r>
              <w:t>13+</w:t>
            </w:r>
          </w:p>
        </w:tc>
        <w:tc>
          <w:tcPr>
            <w:tcW w:type="dxa" w:w="1728"/>
          </w:tcPr>
          <w:p>
            <w:r>
              <w:t>at/above control</w:t>
            </w:r>
          </w:p>
        </w:tc>
        <w:tc>
          <w:tcPr>
            <w:tcW w:type="dxa" w:w="1728"/>
          </w:tcPr>
          <w:p>
            <w:r>
              <w:t>v5b</w:t>
            </w:r>
          </w:p>
        </w:tc>
        <w:tc>
          <w:tcPr>
            <w:tcW w:type="dxa" w:w="1728"/>
          </w:tcPr>
          <w:p>
            <w:r>
              <w:t>+1.20% [−1.65, +4.06] ns</w:t>
            </w:r>
          </w:p>
        </w:tc>
        <w:tc>
          <w:tcPr>
            <w:tcW w:type="dxa" w:w="1728"/>
          </w:tcPr>
          <w:p>
            <w:r>
              <w:t>+0.43% ns</w:t>
            </w:r>
          </w:p>
        </w:tc>
      </w:tr>
      <w:tr>
        <w:tc>
          <w:tcPr>
            <w:tcW w:type="dxa" w:w="1728"/>
          </w:tcPr>
          <w:p>
            <w:r>
              <w:t>13+</w:t>
            </w:r>
          </w:p>
        </w:tc>
        <w:tc>
          <w:tcPr>
            <w:tcW w:type="dxa" w:w="1728"/>
          </w:tcPr>
          <w:p>
            <w:r>
              <w:t>at/above control</w:t>
            </w:r>
          </w:p>
        </w:tc>
        <w:tc>
          <w:tcPr>
            <w:tcW w:type="dxa" w:w="1728"/>
          </w:tcPr>
          <w:p>
            <w:r>
              <w:t>v6</w:t>
            </w:r>
          </w:p>
        </w:tc>
        <w:tc>
          <w:tcPr>
            <w:tcW w:type="dxa" w:w="1728"/>
          </w:tcPr>
          <w:p>
            <w:r>
              <w:t>+5.67% [+2.90, +8.45] sig</w:t>
            </w:r>
          </w:p>
        </w:tc>
        <w:tc>
          <w:tcPr>
            <w:tcW w:type="dxa" w:w="1728"/>
          </w:tcPr>
          <w:p>
            <w:r>
              <w:t>+0.43% ns</w:t>
            </w:r>
          </w:p>
        </w:tc>
      </w:tr>
    </w:tbl>
    <w:p/>
    <w:p>
      <w:pPr/>
      <w:r>
        <w:t>Same direction as OTT and mobile for v4 and v6: below-control titles lose and at/above-control titles gain. Significant cells: v4 10–12 below −9.62% sig; v4 10–12 at/above +8.85% sig; v4 13+ below −3.38% sig; v5b 10–12 at/above +4.51% sig; v6 10–12 below −9.65% sig; v6 10–12 at/above +8.81% sig; v6 13+ at/above +5.67% sig. The remaining v5b cells are mixed and not significant at web sample sizes. The per-title floor case holds on web.</w:t>
      </w:r>
    </w:p>
    <w:p>
      <w:pPr>
        <w:pStyle w:val="Heading2"/>
      </w:pPr>
      <w:r>
        <w:t>2c. Movies versus episodes</w:t>
      </w:r>
    </w:p>
    <w:p>
      <w:pPr/>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+2.04% [−0.20, +4.28] ns</w:t>
            </w:r>
          </w:p>
        </w:tc>
        <w:tc>
          <w:tcPr>
            <w:tcW w:type="dxa" w:w="1440"/>
          </w:tcPr>
          <w:p>
            <w:r>
              <w:t>+0.68% ns</w:t>
            </w:r>
          </w:p>
        </w:tc>
        <w:tc>
          <w:tcPr>
            <w:tcW w:type="dxa" w:w="1440"/>
          </w:tcPr>
          <w:p>
            <w:r>
              <w:t>+1.92% ns</w:t>
            </w:r>
          </w:p>
        </w:tc>
        <w:tc>
          <w:tcPr>
            <w:tcW w:type="dxa" w:w="1440"/>
          </w:tcPr>
          <w:p>
            <w:r>
              <w:t>366,962</w:t>
            </w:r>
          </w:p>
        </w:tc>
      </w:tr>
      <w:tr>
        <w:tc>
          <w:tcPr>
            <w:tcW w:type="dxa" w:w="1440"/>
          </w:tcPr>
          <w:p>
            <w:r>
              <w:t>Movie</w:t>
            </w:r>
          </w:p>
        </w:tc>
        <w:tc>
          <w:tcPr>
            <w:tcW w:type="dxa" w:w="1440"/>
          </w:tcPr>
          <w:p>
            <w:r>
              <w:t>v5b</w:t>
            </w:r>
          </w:p>
        </w:tc>
        <w:tc>
          <w:tcPr>
            <w:tcW w:type="dxa" w:w="1440"/>
          </w:tcPr>
          <w:p>
            <w:r>
              <w:t>+1.89% [−0.23, +4.01] ns</w:t>
            </w:r>
          </w:p>
        </w:tc>
        <w:tc>
          <w:tcPr>
            <w:tcW w:type="dxa" w:w="1440"/>
          </w:tcPr>
          <w:p>
            <w:r>
              <w:t>+0.80% ns</w:t>
            </w:r>
          </w:p>
        </w:tc>
        <w:tc>
          <w:tcPr>
            <w:tcW w:type="dxa" w:w="1440"/>
          </w:tcPr>
          <w:p>
            <w:r>
              <w:t>+2.33% sig</w:t>
            </w:r>
          </w:p>
        </w:tc>
        <w:tc>
          <w:tcPr>
            <w:tcW w:type="dxa" w:w="1440"/>
          </w:tcPr>
          <w:p>
            <w:r>
              <w:t>366,624</w:t>
            </w:r>
          </w:p>
        </w:tc>
      </w:tr>
      <w:tr>
        <w:tc>
          <w:tcPr>
            <w:tcW w:type="dxa" w:w="1440"/>
          </w:tcPr>
          <w:p>
            <w:r>
              <w:t>Movie</w:t>
            </w:r>
          </w:p>
        </w:tc>
        <w:tc>
          <w:tcPr>
            <w:tcW w:type="dxa" w:w="1440"/>
          </w:tcPr>
          <w:p>
            <w:r>
              <w:t>v6</w:t>
            </w:r>
          </w:p>
        </w:tc>
        <w:tc>
          <w:tcPr>
            <w:tcW w:type="dxa" w:w="1440"/>
          </w:tcPr>
          <w:p>
            <w:r>
              <w:t>+4.54% [+2.36, +6.73] sig</w:t>
            </w:r>
          </w:p>
        </w:tc>
        <w:tc>
          <w:tcPr>
            <w:tcW w:type="dxa" w:w="1440"/>
          </w:tcPr>
          <w:p>
            <w:r>
              <w:t>+0.15% ns</w:t>
            </w:r>
          </w:p>
        </w:tc>
        <w:tc>
          <w:tcPr>
            <w:tcW w:type="dxa" w:w="1440"/>
          </w:tcPr>
          <w:p>
            <w:r>
              <w:t>+5.12% sig</w:t>
            </w:r>
          </w:p>
        </w:tc>
        <w:tc>
          <w:tcPr>
            <w:tcW w:type="dxa" w:w="1440"/>
          </w:tcPr>
          <w:p>
            <w:r>
              <w:t>365,170</w:t>
            </w:r>
          </w:p>
        </w:tc>
      </w:tr>
      <w:tr>
        <w:tc>
          <w:tcPr>
            <w:tcW w:type="dxa" w:w="1440"/>
          </w:tcPr>
          <w:p>
            <w:r>
              <w:t>Episode</w:t>
            </w:r>
          </w:p>
        </w:tc>
        <w:tc>
          <w:tcPr>
            <w:tcW w:type="dxa" w:w="1440"/>
          </w:tcPr>
          <w:p>
            <w:r>
              <w:t>v4</w:t>
            </w:r>
          </w:p>
        </w:tc>
        <w:tc>
          <w:tcPr>
            <w:tcW w:type="dxa" w:w="1440"/>
          </w:tcPr>
          <w:p>
            <w:r>
              <w:t>−2.65% [−5.69, +0.39] ns</w:t>
            </w:r>
          </w:p>
        </w:tc>
        <w:tc>
          <w:tcPr>
            <w:tcW w:type="dxa" w:w="1440"/>
          </w:tcPr>
          <w:p>
            <w:r>
              <w:t>+0.41% ns</w:t>
            </w:r>
          </w:p>
        </w:tc>
        <w:tc>
          <w:tcPr>
            <w:tcW w:type="dxa" w:w="1440"/>
          </w:tcPr>
          <w:p>
            <w:r>
              <w:t>−3.08% sig</w:t>
            </w:r>
          </w:p>
        </w:tc>
        <w:tc>
          <w:tcPr>
            <w:tcW w:type="dxa" w:w="1440"/>
          </w:tcPr>
          <w:p>
            <w:r>
              <w:t>146,036</w:t>
            </w:r>
          </w:p>
        </w:tc>
      </w:tr>
      <w:tr>
        <w:tc>
          <w:tcPr>
            <w:tcW w:type="dxa" w:w="1440"/>
          </w:tcPr>
          <w:p>
            <w:r>
              <w:t>Episode</w:t>
            </w:r>
          </w:p>
        </w:tc>
        <w:tc>
          <w:tcPr>
            <w:tcW w:type="dxa" w:w="1440"/>
          </w:tcPr>
          <w:p>
            <w:r>
              <w:t>v5b</w:t>
            </w:r>
          </w:p>
        </w:tc>
        <w:tc>
          <w:tcPr>
            <w:tcW w:type="dxa" w:w="1440"/>
          </w:tcPr>
          <w:p>
            <w:r>
              <w:t>+4.21% [+1.06, +7.36] sig</w:t>
            </w:r>
          </w:p>
        </w:tc>
        <w:tc>
          <w:tcPr>
            <w:tcW w:type="dxa" w:w="1440"/>
          </w:tcPr>
          <w:p>
            <w:r>
              <w:t>−0.40% ns</w:t>
            </w:r>
          </w:p>
        </w:tc>
        <w:tc>
          <w:tcPr>
            <w:tcW w:type="dxa" w:w="1440"/>
          </w:tcPr>
          <w:p>
            <w:r>
              <w:t>+3.97% sig</w:t>
            </w:r>
          </w:p>
        </w:tc>
        <w:tc>
          <w:tcPr>
            <w:tcW w:type="dxa" w:w="1440"/>
          </w:tcPr>
          <w:p>
            <w:r>
              <w:t>145,697</w:t>
            </w:r>
          </w:p>
        </w:tc>
      </w:tr>
      <w:tr>
        <w:tc>
          <w:tcPr>
            <w:tcW w:type="dxa" w:w="1440"/>
          </w:tcPr>
          <w:p>
            <w:r>
              <w:t>Episode</w:t>
            </w:r>
          </w:p>
        </w:tc>
        <w:tc>
          <w:tcPr>
            <w:tcW w:type="dxa" w:w="1440"/>
          </w:tcPr>
          <w:p>
            <w:r>
              <w:t>v6</w:t>
            </w:r>
          </w:p>
        </w:tc>
        <w:tc>
          <w:tcPr>
            <w:tcW w:type="dxa" w:w="1440"/>
          </w:tcPr>
          <w:p>
            <w:r>
              <w:t>−4.46% [−7.54, −1.38] sig</w:t>
            </w:r>
          </w:p>
        </w:tc>
        <w:tc>
          <w:tcPr>
            <w:tcW w:type="dxa" w:w="1440"/>
          </w:tcPr>
          <w:p>
            <w:r>
              <w:t>−0.77% ns</w:t>
            </w:r>
          </w:p>
        </w:tc>
        <w:tc>
          <w:tcPr>
            <w:tcW w:type="dxa" w:w="1440"/>
          </w:tcPr>
          <w:p>
            <w:r>
              <w:t>−5.13% sig</w:t>
            </w:r>
          </w:p>
        </w:tc>
        <w:tc>
          <w:tcPr>
            <w:tcW w:type="dxa" w:w="1440"/>
          </w:tcPr>
          <w:p>
            <w:r>
              <w:t>145,006</w:t>
            </w:r>
          </w:p>
        </w:tc>
      </w:tr>
    </w:tbl>
    <w:p/>
    <w:p>
      <w:pPr/>
      <w:r>
        <w:t>Control n: movies 366,832 · episodes 145,581. Episodes split the arms: v5b +4.21% sig, v6 −4.46% sig, v4 −2.65% ns. Movies: v6 +4.54% sig; v4 and v5b positive but not significant. TVT flat.</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web TVT. The web ad config is not in the project files, so two gate profiles are shown: A = OTT base gates, and B = the most tolerant OTT ladder step. Observed web midrolls start earlier than OTT (median first episode break ~491s vs ~652s on OTT, measured on a 2026-10-12/13 sample), so B is the closer approximation. Profile B fits the measured per-band impression lifts clearly better (r = 0.49 vs 0.28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+127.4%</w:t>
            </w:r>
          </w:p>
        </w:tc>
        <w:tc>
          <w:tcPr>
            <w:tcW w:type="dxa" w:w="1728"/>
          </w:tcPr>
          <w:p>
            <w:r>
              <w:t>+123.8%</w:t>
            </w:r>
          </w:p>
        </w:tc>
        <w:tc>
          <w:tcPr>
            <w:tcW w:type="dxa" w:w="1728"/>
          </w:tcPr>
          <w:p>
            <w:r>
              <w:t>+104.7%</w:t>
            </w:r>
          </w:p>
        </w:tc>
      </w:tr>
      <w:tr>
        <w:tc>
          <w:tcPr>
            <w:tcW w:type="dxa" w:w="1728"/>
          </w:tcPr>
          <w:p>
            <w:r>
              <w:t>Movie</w:t>
            </w:r>
          </w:p>
        </w:tc>
        <w:tc>
          <w:tcPr>
            <w:tcW w:type="dxa" w:w="1728"/>
          </w:tcPr>
          <w:p>
            <w:r>
              <w:t>4–6</w:t>
            </w:r>
          </w:p>
        </w:tc>
        <w:tc>
          <w:tcPr>
            <w:tcW w:type="dxa" w:w="1728"/>
          </w:tcPr>
          <w:p>
            <w:r>
              <w:t>+41.1%</w:t>
            </w:r>
          </w:p>
        </w:tc>
        <w:tc>
          <w:tcPr>
            <w:tcW w:type="dxa" w:w="1728"/>
          </w:tcPr>
          <w:p>
            <w:r>
              <w:t>+26.0%</w:t>
            </w:r>
          </w:p>
        </w:tc>
        <w:tc>
          <w:tcPr>
            <w:tcW w:type="dxa" w:w="1728"/>
          </w:tcPr>
          <w:p>
            <w:r>
              <w:t>+43.8%</w:t>
            </w:r>
          </w:p>
        </w:tc>
      </w:tr>
      <w:tr>
        <w:tc>
          <w:tcPr>
            <w:tcW w:type="dxa" w:w="1728"/>
          </w:tcPr>
          <w:p>
            <w:r>
              <w:t>Movie</w:t>
            </w:r>
          </w:p>
        </w:tc>
        <w:tc>
          <w:tcPr>
            <w:tcW w:type="dxa" w:w="1728"/>
          </w:tcPr>
          <w:p>
            <w:r>
              <w:t>7–9</w:t>
            </w:r>
          </w:p>
        </w:tc>
        <w:tc>
          <w:tcPr>
            <w:tcW w:type="dxa" w:w="1728"/>
          </w:tcPr>
          <w:p>
            <w:r>
              <w:t>+10.1%</w:t>
            </w:r>
          </w:p>
        </w:tc>
        <w:tc>
          <w:tcPr>
            <w:tcW w:type="dxa" w:w="1728"/>
          </w:tcPr>
          <w:p>
            <w:r>
              <w:t>+14.3%</w:t>
            </w:r>
          </w:p>
        </w:tc>
        <w:tc>
          <w:tcPr>
            <w:tcW w:type="dxa" w:w="1728"/>
          </w:tcPr>
          <w:p>
            <w:r>
              <w:t>+14.3%</w:t>
            </w:r>
          </w:p>
        </w:tc>
      </w:tr>
      <w:tr>
        <w:tc>
          <w:tcPr>
            <w:tcW w:type="dxa" w:w="1728"/>
          </w:tcPr>
          <w:p>
            <w:r>
              <w:t>Movie</w:t>
            </w:r>
          </w:p>
        </w:tc>
        <w:tc>
          <w:tcPr>
            <w:tcW w:type="dxa" w:w="1728"/>
          </w:tcPr>
          <w:p>
            <w:r>
              <w:t>10–12</w:t>
            </w:r>
          </w:p>
        </w:tc>
        <w:tc>
          <w:tcPr>
            <w:tcW w:type="dxa" w:w="1728"/>
          </w:tcPr>
          <w:p>
            <w:r>
              <w:t>+2.9%</w:t>
            </w:r>
          </w:p>
        </w:tc>
        <w:tc>
          <w:tcPr>
            <w:tcW w:type="dxa" w:w="1728"/>
          </w:tcPr>
          <w:p>
            <w:r>
              <w:t>+7.6%</w:t>
            </w:r>
          </w:p>
        </w:tc>
        <w:tc>
          <w:tcPr>
            <w:tcW w:type="dxa" w:w="1728"/>
          </w:tcPr>
          <w:p>
            <w:r>
              <w:t>+7.6%</w:t>
            </w:r>
          </w:p>
        </w:tc>
      </w:tr>
      <w:tr>
        <w:tc>
          <w:tcPr>
            <w:tcW w:type="dxa" w:w="1728"/>
          </w:tcPr>
          <w:p>
            <w:r>
              <w:t>Movie</w:t>
            </w:r>
          </w:p>
        </w:tc>
        <w:tc>
          <w:tcPr>
            <w:tcW w:type="dxa" w:w="1728"/>
          </w:tcPr>
          <w:p>
            <w:r>
              <w:t>13+</w:t>
            </w:r>
          </w:p>
        </w:tc>
        <w:tc>
          <w:tcPr>
            <w:tcW w:type="dxa" w:w="1728"/>
          </w:tcPr>
          <w:p>
            <w:r>
              <w:t>−4.2%</w:t>
            </w:r>
          </w:p>
        </w:tc>
        <w:tc>
          <w:tcPr>
            <w:tcW w:type="dxa" w:w="1728"/>
          </w:tcPr>
          <w:p>
            <w:r>
              <w:t>−1.4%</w:t>
            </w:r>
          </w:p>
        </w:tc>
        <w:tc>
          <w:tcPr>
            <w:tcW w:type="dxa" w:w="1728"/>
          </w:tcPr>
          <w:p>
            <w:r>
              <w:t>−0.7%</w:t>
            </w:r>
          </w:p>
        </w:tc>
      </w:tr>
      <w:tr>
        <w:tc>
          <w:tcPr>
            <w:tcW w:type="dxa" w:w="1728"/>
          </w:tcPr>
          <w:p>
            <w:r>
              <w:t>Episode</w:t>
            </w:r>
          </w:p>
        </w:tc>
        <w:tc>
          <w:tcPr>
            <w:tcW w:type="dxa" w:w="1728"/>
          </w:tcPr>
          <w:p>
            <w:r>
              <w:t>1–3</w:t>
            </w:r>
          </w:p>
        </w:tc>
        <w:tc>
          <w:tcPr>
            <w:tcW w:type="dxa" w:w="1728"/>
          </w:tcPr>
          <w:p>
            <w:r>
              <w:t>+6.3%</w:t>
            </w:r>
          </w:p>
        </w:tc>
        <w:tc>
          <w:tcPr>
            <w:tcW w:type="dxa" w:w="1728"/>
          </w:tcPr>
          <w:p>
            <w:r>
              <w:t>+10.1%</w:t>
            </w:r>
          </w:p>
        </w:tc>
        <w:tc>
          <w:tcPr>
            <w:tcW w:type="dxa" w:w="1728"/>
          </w:tcPr>
          <w:p>
            <w:r>
              <w:t>+6.2%</w:t>
            </w:r>
          </w:p>
        </w:tc>
      </w:tr>
      <w:tr>
        <w:tc>
          <w:tcPr>
            <w:tcW w:type="dxa" w:w="1728"/>
          </w:tcPr>
          <w:p>
            <w:r>
              <w:t>Episode</w:t>
            </w:r>
          </w:p>
        </w:tc>
        <w:tc>
          <w:tcPr>
            <w:tcW w:type="dxa" w:w="1728"/>
          </w:tcPr>
          <w:p>
            <w:r>
              <w:t>4–6</w:t>
            </w:r>
          </w:p>
        </w:tc>
        <w:tc>
          <w:tcPr>
            <w:tcW w:type="dxa" w:w="1728"/>
          </w:tcPr>
          <w:p>
            <w:r>
              <w:t>+1.7%</w:t>
            </w:r>
          </w:p>
        </w:tc>
        <w:tc>
          <w:tcPr>
            <w:tcW w:type="dxa" w:w="1728"/>
          </w:tcPr>
          <w:p>
            <w:r>
              <w:t>+6.6%</w:t>
            </w:r>
          </w:p>
        </w:tc>
        <w:tc>
          <w:tcPr>
            <w:tcW w:type="dxa" w:w="1728"/>
          </w:tcPr>
          <w:p>
            <w:r>
              <w:t>+1.7%</w:t>
            </w:r>
          </w:p>
        </w:tc>
      </w:tr>
      <w:tr>
        <w:tc>
          <w:tcPr>
            <w:tcW w:type="dxa" w:w="1728"/>
          </w:tcPr>
          <w:p>
            <w:r>
              <w:t>Episode</w:t>
            </w:r>
          </w:p>
        </w:tc>
        <w:tc>
          <w:tcPr>
            <w:tcW w:type="dxa" w:w="1728"/>
          </w:tcPr>
          <w:p>
            <w:r>
              <w:t>7–9</w:t>
            </w:r>
          </w:p>
        </w:tc>
        <w:tc>
          <w:tcPr>
            <w:tcW w:type="dxa" w:w="1728"/>
          </w:tcPr>
          <w:p>
            <w:r>
              <w:t>−3.0%</w:t>
            </w:r>
          </w:p>
        </w:tc>
        <w:tc>
          <w:tcPr>
            <w:tcW w:type="dxa" w:w="1728"/>
          </w:tcPr>
          <w:p>
            <w:r>
              <w:t>−0.2%</w:t>
            </w:r>
          </w:p>
        </w:tc>
        <w:tc>
          <w:tcPr>
            <w:tcW w:type="dxa" w:w="1728"/>
          </w:tcPr>
          <w:p>
            <w:r>
              <w:t>−3.2%</w:t>
            </w:r>
          </w:p>
        </w:tc>
      </w:tr>
      <w:tr>
        <w:tc>
          <w:tcPr>
            <w:tcW w:type="dxa" w:w="1728"/>
          </w:tcPr>
          <w:p>
            <w:r>
              <w:t>Episode</w:t>
            </w:r>
          </w:p>
        </w:tc>
        <w:tc>
          <w:tcPr>
            <w:tcW w:type="dxa" w:w="1728"/>
          </w:tcPr>
          <w:p>
            <w:r>
              <w:t>10–12</w:t>
            </w:r>
          </w:p>
        </w:tc>
        <w:tc>
          <w:tcPr>
            <w:tcW w:type="dxa" w:w="1728"/>
          </w:tcPr>
          <w:p>
            <w:r>
              <w:t>−3.2%</w:t>
            </w:r>
          </w:p>
        </w:tc>
        <w:tc>
          <w:tcPr>
            <w:tcW w:type="dxa" w:w="1728"/>
          </w:tcPr>
          <w:p>
            <w:r>
              <w:t>−2.6%</w:t>
            </w:r>
          </w:p>
        </w:tc>
        <w:tc>
          <w:tcPr>
            <w:tcW w:type="dxa" w:w="1728"/>
          </w:tcPr>
          <w:p>
            <w:r>
              <w:t>−3.4%</w:t>
            </w:r>
          </w:p>
        </w:tc>
      </w:tr>
      <w:tr>
        <w:tc>
          <w:tcPr>
            <w:tcW w:type="dxa" w:w="1728"/>
          </w:tcPr>
          <w:p>
            <w:r>
              <w:t>Episode</w:t>
            </w:r>
          </w:p>
        </w:tc>
        <w:tc>
          <w:tcPr>
            <w:tcW w:type="dxa" w:w="1728"/>
          </w:tcPr>
          <w:p>
            <w:r>
              <w:t>13+</w:t>
            </w:r>
          </w:p>
        </w:tc>
        <w:tc>
          <w:tcPr>
            <w:tcW w:type="dxa" w:w="1728"/>
          </w:tcPr>
          <w:p>
            <w:r>
              <w:t>−6.2%</w:t>
            </w:r>
          </w:p>
        </w:tc>
        <w:tc>
          <w:tcPr>
            <w:tcW w:type="dxa" w:w="1728"/>
          </w:tcPr>
          <w:p>
            <w:r>
              <w:t>−10.8%</w:t>
            </w:r>
          </w:p>
        </w:tc>
        <w:tc>
          <w:tcPr>
            <w:tcW w:type="dxa" w:w="1728"/>
          </w:tcPr>
          <w:p>
            <w:r>
              <w:t>−6.3%</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+17.5%</w:t>
            </w:r>
          </w:p>
        </w:tc>
        <w:tc>
          <w:tcPr>
            <w:tcW w:type="dxa" w:w="1728"/>
          </w:tcPr>
          <w:p>
            <w:r>
              <w:t>+50.9%</w:t>
            </w:r>
          </w:p>
        </w:tc>
        <w:tc>
          <w:tcPr>
            <w:tcW w:type="dxa" w:w="1728"/>
          </w:tcPr>
          <w:p>
            <w:r>
              <w:t>+17.4%</w:t>
            </w:r>
          </w:p>
        </w:tc>
      </w:tr>
      <w:tr>
        <w:tc>
          <w:tcPr>
            <w:tcW w:type="dxa" w:w="1728"/>
          </w:tcPr>
          <w:p>
            <w:r>
              <w:t>Movie</w:t>
            </w:r>
          </w:p>
        </w:tc>
        <w:tc>
          <w:tcPr>
            <w:tcW w:type="dxa" w:w="1728"/>
          </w:tcPr>
          <w:p>
            <w:r>
              <w:t>4–6</w:t>
            </w:r>
          </w:p>
        </w:tc>
        <w:tc>
          <w:tcPr>
            <w:tcW w:type="dxa" w:w="1728"/>
          </w:tcPr>
          <w:p>
            <w:r>
              <w:t>+25.4%</w:t>
            </w:r>
          </w:p>
        </w:tc>
        <w:tc>
          <w:tcPr>
            <w:tcW w:type="dxa" w:w="1728"/>
          </w:tcPr>
          <w:p>
            <w:r>
              <w:t>+31.6%</w:t>
            </w:r>
          </w:p>
        </w:tc>
        <w:tc>
          <w:tcPr>
            <w:tcW w:type="dxa" w:w="1728"/>
          </w:tcPr>
          <w:p>
            <w:r>
              <w:t>+29.0%</w:t>
            </w:r>
          </w:p>
        </w:tc>
      </w:tr>
      <w:tr>
        <w:tc>
          <w:tcPr>
            <w:tcW w:type="dxa" w:w="1728"/>
          </w:tcPr>
          <w:p>
            <w:r>
              <w:t>Movie</w:t>
            </w:r>
          </w:p>
        </w:tc>
        <w:tc>
          <w:tcPr>
            <w:tcW w:type="dxa" w:w="1728"/>
          </w:tcPr>
          <w:p>
            <w:r>
              <w:t>7–9</w:t>
            </w:r>
          </w:p>
        </w:tc>
        <w:tc>
          <w:tcPr>
            <w:tcW w:type="dxa" w:w="1728"/>
          </w:tcPr>
          <w:p>
            <w:r>
              <w:t>+2.4%</w:t>
            </w:r>
          </w:p>
        </w:tc>
        <w:tc>
          <w:tcPr>
            <w:tcW w:type="dxa" w:w="1728"/>
          </w:tcPr>
          <w:p>
            <w:r>
              <w:t>+10.1%</w:t>
            </w:r>
          </w:p>
        </w:tc>
        <w:tc>
          <w:tcPr>
            <w:tcW w:type="dxa" w:w="1728"/>
          </w:tcPr>
          <w:p>
            <w:r>
              <w:t>+10.1%</w:t>
            </w:r>
          </w:p>
        </w:tc>
      </w:tr>
      <w:tr>
        <w:tc>
          <w:tcPr>
            <w:tcW w:type="dxa" w:w="1728"/>
          </w:tcPr>
          <w:p>
            <w:r>
              <w:t>Movie</w:t>
            </w:r>
          </w:p>
        </w:tc>
        <w:tc>
          <w:tcPr>
            <w:tcW w:type="dxa" w:w="1728"/>
          </w:tcPr>
          <w:p>
            <w:r>
              <w:t>10–12</w:t>
            </w:r>
          </w:p>
        </w:tc>
        <w:tc>
          <w:tcPr>
            <w:tcW w:type="dxa" w:w="1728"/>
          </w:tcPr>
          <w:p>
            <w:r>
              <w:t>−0.1%</w:t>
            </w:r>
          </w:p>
        </w:tc>
        <w:tc>
          <w:tcPr>
            <w:tcW w:type="dxa" w:w="1728"/>
          </w:tcPr>
          <w:p>
            <w:r>
              <w:t>+4.0%</w:t>
            </w:r>
          </w:p>
        </w:tc>
        <w:tc>
          <w:tcPr>
            <w:tcW w:type="dxa" w:w="1728"/>
          </w:tcPr>
          <w:p>
            <w:r>
              <w:t>+6.7%</w:t>
            </w:r>
          </w:p>
        </w:tc>
      </w:tr>
      <w:tr>
        <w:tc>
          <w:tcPr>
            <w:tcW w:type="dxa" w:w="1728"/>
          </w:tcPr>
          <w:p>
            <w:r>
              <w:t>Movie</w:t>
            </w:r>
          </w:p>
        </w:tc>
        <w:tc>
          <w:tcPr>
            <w:tcW w:type="dxa" w:w="1728"/>
          </w:tcPr>
          <w:p>
            <w:r>
              <w:t>13+</w:t>
            </w:r>
          </w:p>
        </w:tc>
        <w:tc>
          <w:tcPr>
            <w:tcW w:type="dxa" w:w="1728"/>
          </w:tcPr>
          <w:p>
            <w:r>
              <w:t>−5.0%</w:t>
            </w:r>
          </w:p>
        </w:tc>
        <w:tc>
          <w:tcPr>
            <w:tcW w:type="dxa" w:w="1728"/>
          </w:tcPr>
          <w:p>
            <w:r>
              <w:t>−1.3%</w:t>
            </w:r>
          </w:p>
        </w:tc>
        <w:tc>
          <w:tcPr>
            <w:tcW w:type="dxa" w:w="1728"/>
          </w:tcPr>
          <w:p>
            <w:r>
              <w:t>+0.2%</w:t>
            </w:r>
          </w:p>
        </w:tc>
      </w:tr>
      <w:tr>
        <w:tc>
          <w:tcPr>
            <w:tcW w:type="dxa" w:w="1728"/>
          </w:tcPr>
          <w:p>
            <w:r>
              <w:t>Episode</w:t>
            </w:r>
          </w:p>
        </w:tc>
        <w:tc>
          <w:tcPr>
            <w:tcW w:type="dxa" w:w="1728"/>
          </w:tcPr>
          <w:p>
            <w:r>
              <w:t>1–3</w:t>
            </w:r>
          </w:p>
        </w:tc>
        <w:tc>
          <w:tcPr>
            <w:tcW w:type="dxa" w:w="1728"/>
          </w:tcPr>
          <w:p>
            <w:r>
              <w:t>+5.8%</w:t>
            </w:r>
          </w:p>
        </w:tc>
        <w:tc>
          <w:tcPr>
            <w:tcW w:type="dxa" w:w="1728"/>
          </w:tcPr>
          <w:p>
            <w:r>
              <w:t>+20.8%</w:t>
            </w:r>
          </w:p>
        </w:tc>
        <w:tc>
          <w:tcPr>
            <w:tcW w:type="dxa" w:w="1728"/>
          </w:tcPr>
          <w:p>
            <w:r>
              <w:t>+5.8%</w:t>
            </w:r>
          </w:p>
        </w:tc>
      </w:tr>
      <w:tr>
        <w:tc>
          <w:tcPr>
            <w:tcW w:type="dxa" w:w="1728"/>
          </w:tcPr>
          <w:p>
            <w:r>
              <w:t>Episode</w:t>
            </w:r>
          </w:p>
        </w:tc>
        <w:tc>
          <w:tcPr>
            <w:tcW w:type="dxa" w:w="1728"/>
          </w:tcPr>
          <w:p>
            <w:r>
              <w:t>4–6</w:t>
            </w:r>
          </w:p>
        </w:tc>
        <w:tc>
          <w:tcPr>
            <w:tcW w:type="dxa" w:w="1728"/>
          </w:tcPr>
          <w:p>
            <w:r>
              <w:t>−1.2%</w:t>
            </w:r>
          </w:p>
        </w:tc>
        <w:tc>
          <w:tcPr>
            <w:tcW w:type="dxa" w:w="1728"/>
          </w:tcPr>
          <w:p>
            <w:r>
              <w:t>+11.6%</w:t>
            </w:r>
          </w:p>
        </w:tc>
        <w:tc>
          <w:tcPr>
            <w:tcW w:type="dxa" w:w="1728"/>
          </w:tcPr>
          <w:p>
            <w:r>
              <w:t>−1.2%</w:t>
            </w:r>
          </w:p>
        </w:tc>
      </w:tr>
      <w:tr>
        <w:tc>
          <w:tcPr>
            <w:tcW w:type="dxa" w:w="1728"/>
          </w:tcPr>
          <w:p>
            <w:r>
              <w:t>Episode</w:t>
            </w:r>
          </w:p>
        </w:tc>
        <w:tc>
          <w:tcPr>
            <w:tcW w:type="dxa" w:w="1728"/>
          </w:tcPr>
          <w:p>
            <w:r>
              <w:t>7–9</w:t>
            </w:r>
          </w:p>
        </w:tc>
        <w:tc>
          <w:tcPr>
            <w:tcW w:type="dxa" w:w="1728"/>
          </w:tcPr>
          <w:p>
            <w:r>
              <w:t>−1.5%</w:t>
            </w:r>
          </w:p>
        </w:tc>
        <w:tc>
          <w:tcPr>
            <w:tcW w:type="dxa" w:w="1728"/>
          </w:tcPr>
          <w:p>
            <w:r>
              <w:t>+11.1%</w:t>
            </w:r>
          </w:p>
        </w:tc>
        <w:tc>
          <w:tcPr>
            <w:tcW w:type="dxa" w:w="1728"/>
          </w:tcPr>
          <w:p>
            <w:r>
              <w:t>−1.5%</w:t>
            </w:r>
          </w:p>
        </w:tc>
      </w:tr>
      <w:tr>
        <w:tc>
          <w:tcPr>
            <w:tcW w:type="dxa" w:w="1728"/>
          </w:tcPr>
          <w:p>
            <w:r>
              <w:t>Episode</w:t>
            </w:r>
          </w:p>
        </w:tc>
        <w:tc>
          <w:tcPr>
            <w:tcW w:type="dxa" w:w="1728"/>
          </w:tcPr>
          <w:p>
            <w:r>
              <w:t>10–12</w:t>
            </w:r>
          </w:p>
        </w:tc>
        <w:tc>
          <w:tcPr>
            <w:tcW w:type="dxa" w:w="1728"/>
          </w:tcPr>
          <w:p>
            <w:r>
              <w:t>−3.0%</w:t>
            </w:r>
          </w:p>
        </w:tc>
        <w:tc>
          <w:tcPr>
            <w:tcW w:type="dxa" w:w="1728"/>
          </w:tcPr>
          <w:p>
            <w:r>
              <w:t>+4.5%</w:t>
            </w:r>
          </w:p>
        </w:tc>
        <w:tc>
          <w:tcPr>
            <w:tcW w:type="dxa" w:w="1728"/>
          </w:tcPr>
          <w:p>
            <w:r>
              <w:t>−3.0%</w:t>
            </w:r>
          </w:p>
        </w:tc>
      </w:tr>
      <w:tr>
        <w:tc>
          <w:tcPr>
            <w:tcW w:type="dxa" w:w="1728"/>
          </w:tcPr>
          <w:p>
            <w:r>
              <w:t>Episode</w:t>
            </w:r>
          </w:p>
        </w:tc>
        <w:tc>
          <w:tcPr>
            <w:tcW w:type="dxa" w:w="1728"/>
          </w:tcPr>
          <w:p>
            <w:r>
              <w:t>13+</w:t>
            </w:r>
          </w:p>
        </w:tc>
        <w:tc>
          <w:tcPr>
            <w:tcW w:type="dxa" w:w="1728"/>
          </w:tcPr>
          <w:p>
            <w:r>
              <w:t>−4.7%</w:t>
            </w:r>
          </w:p>
        </w:tc>
        <w:tc>
          <w:tcPr>
            <w:tcW w:type="dxa" w:w="1728"/>
          </w:tcPr>
          <w:p>
            <w:r>
              <w:t>+5.6%</w:t>
            </w:r>
          </w:p>
        </w:tc>
        <w:tc>
          <w:tcPr>
            <w:tcW w:type="dxa" w:w="1728"/>
          </w:tcPr>
          <w:p>
            <w:r>
              <w:t>−4.8%</w:t>
            </w:r>
          </w:p>
        </w:tc>
      </w:tr>
    </w:tbl>
    <w:p/>
    <w:p>
      <w:pPr/>
      <w:r>
        <w:t>Under the tolerant profile v5b fires more episode breaks in every band (+4.5% to +20.8%) and v4/v6 fire fewer from 4–6 up (v4 −1.2% at 4–6 to −4.7% at 13+) — the measured episode split. Web episode viewing is shallower than OTT (81.7% of ABF2 episode views reach ~6.3 min, 79.1% reach ~9.7 min; OTT 91.1% / 89.3%), which likely adds to v4/v6's late-first-cue penalty on sparse episodes.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+1.0%</w:t>
            </w:r>
          </w:p>
        </w:tc>
        <w:tc>
          <w:tcPr>
            <w:tcW w:type="dxa" w:w="1440"/>
          </w:tcPr>
          <w:p>
            <w:r>
              <w:t>−3.7%</w:t>
            </w:r>
          </w:p>
        </w:tc>
        <w:tc>
          <w:tcPr>
            <w:tcW w:type="dxa" w:w="1440"/>
          </w:tcPr>
          <w:p>
            <w:r>
              <w:t>−1.2%</w:t>
            </w:r>
          </w:p>
        </w:tc>
        <w:tc>
          <w:tcPr>
            <w:tcW w:type="dxa" w:w="1440"/>
          </w:tcPr>
          <w:p>
            <w:r>
              <w:t>+5.9%</w:t>
            </w:r>
          </w:p>
        </w:tc>
      </w:tr>
      <w:tr>
        <w:tc>
          <w:tcPr>
            <w:tcW w:type="dxa" w:w="1440"/>
          </w:tcPr>
          <w:p>
            <w:r>
              <w:t>A (OTT base)</w:t>
            </w:r>
          </w:p>
        </w:tc>
        <w:tc>
          <w:tcPr>
            <w:tcW w:type="dxa" w:w="1440"/>
          </w:tcPr>
          <w:p>
            <w:r>
              <w:t>v5b</w:t>
            </w:r>
          </w:p>
        </w:tc>
        <w:tc>
          <w:tcPr>
            <w:tcW w:type="dxa" w:w="1440"/>
          </w:tcPr>
          <w:p>
            <w:r>
              <w:t>+4.5%</w:t>
            </w:r>
          </w:p>
        </w:tc>
        <w:tc>
          <w:tcPr>
            <w:tcW w:type="dxa" w:w="1440"/>
          </w:tcPr>
          <w:p>
            <w:r>
              <w:t>−1.1%</w:t>
            </w:r>
          </w:p>
        </w:tc>
        <w:tc>
          <w:tcPr>
            <w:tcW w:type="dxa" w:w="1440"/>
          </w:tcPr>
          <w:p>
            <w:r>
              <w:t>−2.1%</w:t>
            </w:r>
          </w:p>
        </w:tc>
        <w:tc>
          <w:tcPr>
            <w:tcW w:type="dxa" w:w="1440"/>
          </w:tcPr>
          <w:p>
            <w:r>
              <w:t>+7.8%</w:t>
            </w:r>
          </w:p>
        </w:tc>
      </w:tr>
      <w:tr>
        <w:tc>
          <w:tcPr>
            <w:tcW w:type="dxa" w:w="1440"/>
          </w:tcPr>
          <w:p>
            <w:r>
              <w:t>A (OTT base)</w:t>
            </w:r>
          </w:p>
        </w:tc>
        <w:tc>
          <w:tcPr>
            <w:tcW w:type="dxa" w:w="1440"/>
          </w:tcPr>
          <w:p>
            <w:r>
              <w:t>v6</w:t>
            </w:r>
          </w:p>
        </w:tc>
        <w:tc>
          <w:tcPr>
            <w:tcW w:type="dxa" w:w="1440"/>
          </w:tcPr>
          <w:p>
            <w:r>
              <w:t>+0.9%</w:t>
            </w:r>
          </w:p>
        </w:tc>
        <w:tc>
          <w:tcPr>
            <w:tcW w:type="dxa" w:w="1440"/>
          </w:tcPr>
          <w:p>
            <w:r>
              <w:t>−3.7%</w:t>
            </w:r>
          </w:p>
        </w:tc>
        <w:tc>
          <w:tcPr>
            <w:tcW w:type="dxa" w:w="1440"/>
          </w:tcPr>
          <w:p>
            <w:r>
              <w:t>−1.2%</w:t>
            </w:r>
          </w:p>
        </w:tc>
        <w:tc>
          <w:tcPr>
            <w:tcW w:type="dxa" w:w="1440"/>
          </w:tcPr>
          <w:p>
            <w:r>
              <w:t>+5.8%</w:t>
            </w:r>
          </w:p>
        </w:tc>
      </w:tr>
      <w:tr>
        <w:tc>
          <w:tcPr>
            <w:tcW w:type="dxa" w:w="1440"/>
          </w:tcPr>
          <w:p>
            <w:r>
              <w:t>B (tolerant)</w:t>
            </w:r>
          </w:p>
        </w:tc>
        <w:tc>
          <w:tcPr>
            <w:tcW w:type="dxa" w:w="1440"/>
          </w:tcPr>
          <w:p>
            <w:r>
              <w:t>v4</w:t>
            </w:r>
          </w:p>
        </w:tc>
        <w:tc>
          <w:tcPr>
            <w:tcW w:type="dxa" w:w="1440"/>
          </w:tcPr>
          <w:p>
            <w:r>
              <w:t>+0.2%</w:t>
            </w:r>
          </w:p>
        </w:tc>
        <w:tc>
          <w:tcPr>
            <w:tcW w:type="dxa" w:w="1440"/>
          </w:tcPr>
          <w:p>
            <w:r>
              <w:t>−3.7%</w:t>
            </w:r>
          </w:p>
        </w:tc>
        <w:tc>
          <w:tcPr>
            <w:tcW w:type="dxa" w:w="1440"/>
          </w:tcPr>
          <w:p>
            <w:r>
              <w:t>−2.1%</w:t>
            </w:r>
          </w:p>
        </w:tc>
        <w:tc>
          <w:tcPr>
            <w:tcW w:type="dxa" w:w="1440"/>
          </w:tcPr>
          <w:p>
            <w:r>
              <w:t>+6.0%</w:t>
            </w:r>
          </w:p>
        </w:tc>
      </w:tr>
      <w:tr>
        <w:tc>
          <w:tcPr>
            <w:tcW w:type="dxa" w:w="1440"/>
          </w:tcPr>
          <w:p>
            <w:r>
              <w:t>B (tolerant)</w:t>
            </w:r>
          </w:p>
        </w:tc>
        <w:tc>
          <w:tcPr>
            <w:tcW w:type="dxa" w:w="1440"/>
          </w:tcPr>
          <w:p>
            <w:r>
              <w:t>v5b</w:t>
            </w:r>
          </w:p>
        </w:tc>
        <w:tc>
          <w:tcPr>
            <w:tcW w:type="dxa" w:w="1440"/>
          </w:tcPr>
          <w:p>
            <w:r>
              <w:t>+13.1%</w:t>
            </w:r>
          </w:p>
        </w:tc>
        <w:tc>
          <w:tcPr>
            <w:tcW w:type="dxa" w:w="1440"/>
          </w:tcPr>
          <w:p>
            <w:r>
              <w:t>+2.6%</w:t>
            </w:r>
          </w:p>
        </w:tc>
        <w:tc>
          <w:tcPr>
            <w:tcW w:type="dxa" w:w="1440"/>
          </w:tcPr>
          <w:p>
            <w:r>
              <w:t>−1.9%</w:t>
            </w:r>
          </w:p>
        </w:tc>
        <w:tc>
          <w:tcPr>
            <w:tcW w:type="dxa" w:w="1440"/>
          </w:tcPr>
          <w:p>
            <w:r>
              <w:t>+12.3%</w:t>
            </w:r>
          </w:p>
        </w:tc>
      </w:tr>
      <w:tr>
        <w:tc>
          <w:tcPr>
            <w:tcW w:type="dxa" w:w="1440"/>
          </w:tcPr>
          <w:p>
            <w:r>
              <w:t>B (tolerant)</w:t>
            </w:r>
          </w:p>
        </w:tc>
        <w:tc>
          <w:tcPr>
            <w:tcW w:type="dxa" w:w="1440"/>
          </w:tcPr>
          <w:p>
            <w:r>
              <w:t>v6</w:t>
            </w:r>
          </w:p>
        </w:tc>
        <w:tc>
          <w:tcPr>
            <w:tcW w:type="dxa" w:w="1440"/>
          </w:tcPr>
          <w:p>
            <w:r>
              <w:t>+0.1%</w:t>
            </w:r>
          </w:p>
        </w:tc>
        <w:tc>
          <w:tcPr>
            <w:tcW w:type="dxa" w:w="1440"/>
          </w:tcPr>
          <w:p>
            <w:r>
              <w:t>−3.7%</w:t>
            </w:r>
          </w:p>
        </w:tc>
        <w:tc>
          <w:tcPr>
            <w:tcW w:type="dxa" w:w="1440"/>
          </w:tcPr>
          <w:p>
            <w:r>
              <w:t>−2.1%</w:t>
            </w:r>
          </w:p>
        </w:tc>
        <w:tc>
          <w:tcPr>
            <w:tcW w:type="dxa" w:w="1440"/>
          </w:tcPr>
          <w:p>
            <w:r>
              <w:t>+6.0%</w:t>
            </w:r>
          </w:p>
        </w:tc>
      </w:tr>
    </w:tbl>
    <w:p/>
    <w:p>
      <w:pPr/>
      <w:r>
        <w:t>For v4/v6 the episode losses come mostly from fewer cue points under both profiles → the per-title floor is the lever. For v5b the tolerant profile makes the count term positive: ABF2-density lists fire more breaks when gates are looser.</w:t>
      </w:r>
    </w:p>
    <w:p>
      <w:pPr>
        <w:pStyle w:val="Heading1"/>
      </w:pPr>
      <w:r>
        <w:t>3. Decision frame</w:t>
      </w:r>
    </w:p>
    <w:p>
      <w:pPr/>
      <w:r>
        <w:t>Early read, same window as OTT. Web is the smallest and noisiest surface; treat everything except v5b's gain and v4's loss as directional.</w:t>
      </w:r>
    </w:p>
    <w:p>
      <w:pPr>
        <w:pStyle w:val="ListBullet"/>
      </w:pPr>
      <w:r>
        <w:rPr>
          <w:b/>
        </w:rPr>
        <w:t>v5b leads on web too.</w:t>
      </w:r>
      <w:r>
        <w:t xml:space="preserve"> Total revenue +1.921% sig, open-auction +2.387% sig, on-title +3.653% sig, TVT flat. It is the only arm with a significant total-revenue gain on all three platforms (on mobile with a small TVT dip).</w:t>
      </w:r>
    </w:p>
    <w:p>
      <w:pPr>
        <w:pStyle w:val="ListBullet"/>
      </w:pPr>
      <w:r>
        <w:rPr>
          <w:b/>
        </w:rPr>
        <w:t>v4 should not ship to web.</w:t>
      </w:r>
      <w:r>
        <w:t xml:space="preserve"> Total revenue −1.529% sig, driven by budgeted demand (−1.486% sig).</w:t>
      </w:r>
    </w:p>
    <w:p>
      <w:pPr>
        <w:pStyle w:val="ListBullet"/>
      </w:pPr>
      <w:r>
        <w:rPr>
          <w:b/>
        </w:rPr>
        <w:t>v6 is neutral on web.</w:t>
      </w:r>
      <w:r>
        <w:t xml:space="preserve"> Total revenue −0.280% ns; its movie gain (+4.54% sig) is offset by the episode loss (−4.46% sig).</w:t>
      </w:r>
    </w:p>
    <w:p>
      <w:pPr>
        <w:pStyle w:val="ListBullet"/>
      </w:pPr>
      <w:r>
        <w:rPr>
          <w:b/>
        </w:rPr>
        <w:t>Open items.</w:t>
      </w:r>
      <w:r>
        <w:t xml:space="preserve"> Get the web ad config to replace the approximate gate profiles; a longer window is needed for the band and below-control cells.</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−1.494% sig</w:t>
            </w:r>
          </w:p>
        </w:tc>
        <w:tc>
          <w:tcPr>
            <w:tcW w:type="dxa" w:w="2880"/>
          </w:tcPr>
          <w:p>
            <w:r>
              <w:t>−0.902% ns</w:t>
            </w:r>
          </w:p>
        </w:tc>
      </w:tr>
      <w:tr>
        <w:tc>
          <w:tcPr>
            <w:tcW w:type="dxa" w:w="2880"/>
          </w:tcPr>
          <w:p>
            <w:r>
              <w:t>v5b</w:t>
            </w:r>
          </w:p>
        </w:tc>
        <w:tc>
          <w:tcPr>
            <w:tcW w:type="dxa" w:w="2880"/>
          </w:tcPr>
          <w:p>
            <w:r>
              <w:t>+2.033% sig</w:t>
            </w:r>
          </w:p>
        </w:tc>
        <w:tc>
          <w:tcPr>
            <w:tcW w:type="dxa" w:w="2880"/>
          </w:tcPr>
          <w:p>
            <w:r>
              <w:t>+2.703% sig</w:t>
            </w:r>
          </w:p>
        </w:tc>
      </w:tr>
      <w:tr>
        <w:tc>
          <w:tcPr>
            <w:tcW w:type="dxa" w:w="2880"/>
          </w:tcPr>
          <w:p>
            <w:r>
              <w:t>v6</w:t>
            </w:r>
          </w:p>
        </w:tc>
        <w:tc>
          <w:tcPr>
            <w:tcW w:type="dxa" w:w="2880"/>
          </w:tcPr>
          <w:p>
            <w:r>
              <w:t>−0.159% ns</w:t>
            </w:r>
          </w:p>
        </w:tc>
        <w:tc>
          <w:tcPr>
            <w:tcW w:type="dxa" w:w="2880"/>
          </w:tcPr>
          <w:p>
            <w:r>
              <w:t>+0.380% ns</w:t>
            </w:r>
          </w:p>
        </w:tc>
      </w:tr>
    </w:tbl>
    <w:p/>
    <w:p>
      <w:pPr/>
      <w:r>
        <w:t>For v5b both pools rise (budgeted +2.033% sig, unbudgeted +2.703% sig): new inventory filled by both demand types, a clean incrementality signal. v4's budgeted impressions fall (−1.494% sig).</w:t>
      </w:r>
    </w:p>
    <w:p>
      <w:pPr>
        <w:pStyle w:val="Heading1"/>
      </w:pPr>
      <w:r>
        <w:t>Appendix C — Methods</w:t>
      </w:r>
    </w:p>
    <w:p>
      <w:pPr>
        <w:pStyle w:val="ListBullet"/>
      </w:pPr>
      <w:r>
        <w:rPr>
          <w:b/>
        </w:rPr>
        <w:t>Assignment.</w:t>
      </w:r>
      <w:r>
        <w:t xml:space="preserve"> One variant per device from `core_dev.statsig.exposures` for `ads_web_abf_3_v10_abf2_titles_only`; no device has more than one variant. Outcomes require event time at/after first exposure.</w:t>
      </w:r>
    </w:p>
    <w:p>
      <w:pPr>
        <w:pStyle w:val="ListBullet"/>
      </w:pPr>
      <w:r>
        <w:rPr>
          <w:b/>
        </w:rPr>
        <w:t>Window.</w:t>
      </w:r>
      <w:r>
        <w:t xml:space="preserve"> Outcomes 2026-10-09 through 2026-10-18, capped at 2026-10-19 00:00 UTC. CUPED covariate 2026-09-25 → 2026-10-08. Active = ≥1 video session since first exposure in-window. ToT = ≥1 second of TVT on an ABF2-catalog title in-window.</w:t>
      </w:r>
    </w:p>
    <w:p>
      <w:pPr>
        <w:pStyle w:val="ListBullet"/>
      </w:pPr>
      <w:r>
        <w:rPr>
          <w:b/>
        </w:rPr>
        <w:t>ABF2 title list, metrics, estimator.</w:t>
      </w:r>
      <w:r>
        <w:t xml:space="preserve"> Identical to the OTT report: movie/episode streams with non-empty `cue_points_abf`, excluding `abf3_pruned_v8` and the v8 title table;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re-run as a SQL port of `v10_gate_replay.py` (`gate_replay_all.sql`; validated against the 10-15 notebook run),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the table now also holds extra arms that are not part of v10 and were excluded) — catalog-level, so §B.4 and the first-cue table match the OTT report.</w:t>
      </w:r>
    </w:p>
    <w:p>
      <w:pPr>
        <w:pStyle w:val="ListBullet"/>
      </w:pPr>
      <w:r>
        <w:rPr>
          <w:b/>
        </w:rPr>
        <w:t>Code.</w:t>
      </w:r>
      <w:r>
        <w:t xml:space="preserve"> Queries and scripts in `abf-experiment/v10_verification/` (refresh outputs in `results_20261019/`).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