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og6mbrjjjs8" w:id="0"/>
      <w:bookmarkEnd w:id="0"/>
      <w:r w:rsidDel="00000000" w:rsidR="00000000" w:rsidRPr="00000000">
        <w:rPr>
          <w:rtl w:val="0"/>
        </w:rPr>
        <w:t xml:space="preserve">ABF3 v8 — Full ABF1 Catalog Results (MOBILE)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ads_mobile_abf_3_v8</w:t>
      </w:r>
      <w:r w:rsidDel="00000000" w:rsidR="00000000" w:rsidRPr="00000000">
        <w:rPr>
          <w:rtl w:val="0"/>
        </w:rPr>
        <w:t xml:space="preserve"> (iOS, Android) · device-randomized 50/50 · launched 2026-07-23 · </w:t>
      </w:r>
      <w:r w:rsidDel="00000000" w:rsidR="00000000" w:rsidRPr="00000000">
        <w:rPr>
          <w:b w:val="1"/>
          <w:bCs w:val="1"/>
          <w:rtl w:val="0"/>
        </w:rPr>
        <w:t xml:space="preserve">top-up of 38,116 titles added 2026-08-11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treated set = </w:t>
      </w:r>
      <w:r w:rsidDel="00000000" w:rsidR="00000000" w:rsidRPr="00000000">
        <w:rPr>
          <w:b w:val="1"/>
          <w:bCs w:val="1"/>
          <w:rtl w:val="0"/>
        </w:rPr>
        <w:t xml:space="preserve">192,464 ABF1 titles</w:t>
      </w:r>
      <w:r w:rsidDel="00000000" w:rsidR="00000000" w:rsidRPr="00000000">
        <w:rPr>
          <w:rtl w:val="0"/>
        </w:rPr>
        <w:t xml:space="preserve"> (title-level serving change, shared across platforms). </w:t>
      </w:r>
      <w:r w:rsidDel="00000000" w:rsidR="00000000" w:rsidRPr="00000000">
        <w:rPr>
          <w:b w:val="1"/>
          <w:bCs w:val="1"/>
          <w:rtl w:val="0"/>
        </w:rPr>
        <w:t xml:space="preserve">Main analysis window (this report):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2026-08-12 → 2026-08-20</w:t>
      </w:r>
      <w:r w:rsidDel="00000000" w:rsidR="00000000" w:rsidRPr="00000000">
        <w:rPr>
          <w:rtl w:val="0"/>
        </w:rPr>
        <w:t xml:space="preserve"> (post-top-up, 9 complete days). Pre-add "Window A" and A/B comparisons are in the appendices. Companion reports: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OTT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</w:t>
        </w:r>
      </w:hyperlink>
      <w:r w:rsidDel="00000000" w:rsidR="00000000" w:rsidRPr="00000000">
        <w:rPr>
          <w:rtl w:val="0"/>
        </w:rPr>
        <w:t xml:space="preserve"> (same structure). </w:t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device-level CUPED (clean pre-period 2026-07-09 → 07-22), Welch CIs; populations ITT / Active / ToT (Appendix C). Report date 2026-08-21.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mxrg1qq7fy" w:id="1"/>
      <w:bookmarkEnd w:id="1"/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is the strongest platform in the program: TOTAL mobile revenue +2.96%, TOTAL mobile TVT flat — across all devices and ALL titles (treated and untreated), measured at catalog scale (15.9M devices/arm).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(all-titles)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(all-titles) 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 MEASURED (global topline, ITT)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+2.957%</w:t>
            </w:r>
            <w:r w:rsidDel="00000000" w:rsidR="00000000" w:rsidRPr="00000000">
              <w:rPr>
                <w:rtl w:val="0"/>
              </w:rPr>
              <w:t xml:space="preserve"> [+2.597, +3.316]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−0.168%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[−0.492, +0.156]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ns — flat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from the v7 sample XP (matching pruner config)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+2.42% [+1.53, +3.31]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−0.4% to −0.6%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from the v6 sample XP (lighter pruner)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+3.19% [+2.45, +3.94]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−0.34% to −0.70%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OVER-delivers its projection</w:t>
      </w:r>
      <w:r w:rsidDel="00000000" w:rsidR="00000000" w:rsidRPr="00000000">
        <w:rPr>
          <w:rtl w:val="0"/>
        </w:rPr>
        <w:t xml:space="preserve"> (+2.96% vs +2.42%) — the opposite of OTT (~65% of projection) — </w:t>
      </w:r>
      <w:r w:rsidDel="00000000" w:rsidR="00000000" w:rsidRPr="00000000">
        <w:rPr>
          <w:b w:val="1"/>
          <w:bCs w:val="1"/>
          <w:rtl w:val="0"/>
        </w:rPr>
        <w:t xml:space="preserve">and the projected TVT cost did not materialize.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Mobile was the sample era's worst engagement platform (on-title TVT −0.90% sig in v6/v7); at catalog scale TVT is flat on every lens and in every density band. Caveat: the global TVT CI [−0.49, +0.16] cannot yet fully exclude a v6-sized −0.4% cost.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Robust to population definition: ITT +2.96%, Active +2.91%, ToT +3.36% revenue; TVT ns on all three.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trade decomposes cleanly and additively: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original 154K batch = +1.16% global (Window A) at flat TVT; the top-up adds ≈ +1.78pp (its banded contribution) at flat TVT — 1.16 + 1.78 ≈ the measured +2.96%.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check on mobile:</w:t>
      </w:r>
      <w:r w:rsidDel="00000000" w:rsidR="00000000" w:rsidRPr="00000000">
        <w:rPr>
          <w:rtl w:val="0"/>
        </w:rPr>
        <w:t xml:space="preserve"> the below-control dense over-prune </w:t>
      </w:r>
      <w:r w:rsidDel="00000000" w:rsidR="00000000" w:rsidRPr="00000000">
        <w:rPr>
          <w:b w:val="1"/>
          <w:bCs w:val="1"/>
          <w:rtl w:val="0"/>
        </w:rPr>
        <w:t xml:space="preserve">replicates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(13+ below-control −6.3% vs at/above +1.6%; 10–12: −5.1% vs +6.5%) — the per-title floor fix is validated on mobile too. The OTT series/gate-alignment defect is </w:t>
      </w:r>
      <w:r w:rsidDel="00000000" w:rsidR="00000000" w:rsidRPr="00000000">
        <w:rPr>
          <w:b w:val="1"/>
          <w:bCs w:val="1"/>
          <w:rtl w:val="0"/>
        </w:rPr>
        <w:t xml:space="preserve">largely absent on mobile</w:t>
      </w:r>
      <w:r w:rsidDel="00000000" w:rsidR="00000000" w:rsidRPr="00000000">
        <w:rPr>
          <w:rtl w:val="0"/>
        </w:rPr>
        <w:t xml:space="preserve">: series are strongly positive in sparse bands (+11.8% at 1–3), flat at 7–12, negative only at 13+ — consistent with mobile's different ad-config gates not binding ABF3's placement the way OTT episode gates 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Caveats: 9-day post-add read; ITT n includes late-exposed zero-outcome devices (does not affect % lifts).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ulhwdlodl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Headline (Window B: 08-12 → 08-20)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Two scopes: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= total revenue/TVT across ALL titles watched by exposed devices (the platform topline); </w:t>
      </w:r>
      <w:r w:rsidDel="00000000" w:rsidR="00000000" w:rsidRPr="00000000">
        <w:rPr>
          <w:b w:val="1"/>
          <w:bCs w:val="1"/>
          <w:rtl w:val="0"/>
        </w:rPr>
        <w:t xml:space="preserve">on-title</w:t>
      </w:r>
      <w:r w:rsidDel="00000000" w:rsidR="00000000" w:rsidRPr="00000000">
        <w:rPr>
          <w:rtl w:val="0"/>
        </w:rPr>
        <w:t xml:space="preserve"> = effect on the 192,464 treated titles.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(all titles, all exposed devices):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15.87M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+2.957%</w:t>
            </w:r>
            <w:r w:rsidDel="00000000" w:rsidR="00000000" w:rsidRPr="00000000">
              <w:rPr>
                <w:rtl w:val="0"/>
              </w:rPr>
              <w:t xml:space="preserve"> [+2.597, +3.316] p=2e-58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−0.168% [−0.492, +0.156] p=0.31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(≥1 session since exposure)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+2.913% [+2.557, +3.269] p=7e-58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−0.192% p=0.24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+3.361% [+3.002, +3.720] p=4e-75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−0.259% p=0.11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On-title (treated titles):</w:t>
      </w:r>
      <w:r w:rsidDel="00000000" w:rsidR="00000000" w:rsidRPr="00000000">
        <w:rPr>
          <w:rtl w:val="0"/>
        </w:rPr>
        <w:t xml:space="preserve"> ITT </w:t>
      </w:r>
      <w:r w:rsidDel="00000000" w:rsidR="00000000" w:rsidRPr="00000000">
        <w:rPr>
          <w:b w:val="1"/>
          <w:bCs w:val="1"/>
          <w:rtl w:val="0"/>
        </w:rPr>
        <w:t xml:space="preserve">+8.132%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[+7.639, +8.625] p=2e-229 revenue / −0.094% TVT p=0.67; ToT +7.966% p=2e-257 / −0.242% p=0.23. Impressions: global ITT +3.363% p=9e-79; on-title ITT +9.337% p&lt;1e-300.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NPV_TVT — non-power-viewer TVT (Statsig metric), Window B:</w:t>
      </w:r>
      <w:r w:rsidDel="00000000" w:rsidR="00000000" w:rsidRPr="00000000">
        <w:rPr>
          <w:rtl w:val="0"/>
        </w:rPr>
        <w:t xml:space="preserve"> power flag from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device_okr_daily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snapshot on/before first exposure (≥8 visit-days last-28d AND &gt;4 hrs/visit-day; absent = non-power); share balanced (0.678% both arms).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NPV_TVT −0.237% [−0.585, +0.111] p=0.18 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(15.76M/arm); power viewers +0.109% [−0.663, +0.881] p=0.78 (108K/arm). Flat on both subpopulations, matching mobile's overall TVT.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eosmofng55q" w:id="3"/>
      <w:bookmarkEnd w:id="3"/>
      <w:r w:rsidDel="00000000" w:rsidR="00000000" w:rsidRPr="00000000">
        <w:rPr>
          <w:rtl w:val="0"/>
        </w:rPr>
        <w:t xml:space="preserve">2. Where the lift lives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v52491xuj6a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2a. By ABF1 density band (Window B, all treated ∩ ABF1 universe)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+11.90%</w:t>
            </w:r>
            <w:r w:rsidDel="00000000" w:rsidR="00000000" w:rsidRPr="00000000">
              <w:rPr>
                <w:rtl w:val="0"/>
              </w:rPr>
              <w:t xml:space="preserve"> [+10.38, +13.42]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−0.24%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488K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+7.07% [+5.69, +8.46]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+0.78%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596K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+12.69%</w:t>
            </w:r>
            <w:r w:rsidDel="00000000" w:rsidR="00000000" w:rsidRPr="00000000">
              <w:rPr>
                <w:rtl w:val="0"/>
              </w:rPr>
              <w:t xml:space="preserve"> [+12.07, +13.31]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−0.04%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+4.19% [+3.57, +4.80]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+0.20%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−2.24%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[−3.26, −1.23]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+0.07%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514K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Banded set = </w:t>
      </w:r>
      <w:r w:rsidDel="00000000" w:rsidR="00000000" w:rsidRPr="00000000">
        <w:rPr>
          <w:b w:val="1"/>
          <w:bCs w:val="1"/>
          <w:rtl w:val="0"/>
        </w:rPr>
        <w:t xml:space="preserve">35.7% of mobile revenue</w:t>
      </w:r>
      <w:r w:rsidDel="00000000" w:rsidR="00000000" w:rsidRPr="00000000">
        <w:rPr>
          <w:rtl w:val="0"/>
        </w:rPr>
        <w:t xml:space="preserve"> (platform-scoped); treated-wide rev-weighted lift </w:t>
      </w:r>
      <w:r w:rsidDel="00000000" w:rsidR="00000000" w:rsidRPr="00000000">
        <w:rPr>
          <w:b w:val="1"/>
          <w:bCs w:val="1"/>
          <w:rtl w:val="0"/>
        </w:rPr>
        <w:t xml:space="preserve">+8.16%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banded global contribution ≈ +2.92pp</w:t>
      </w:r>
      <w:r w:rsidDel="00000000" w:rsidR="00000000" w:rsidRPr="00000000">
        <w:rPr>
          <w:rtl w:val="0"/>
        </w:rPr>
        <w:t xml:space="preserve">. (Band 0's huge % lift is a near-zero-baseline artifact; negligible weight.) Unlike OTT, the lift is broad and strong across sparse AND mid bands, and </w:t>
      </w:r>
      <w:r w:rsidDel="00000000" w:rsidR="00000000" w:rsidRPr="00000000">
        <w:rPr>
          <w:b w:val="1"/>
          <w:bCs w:val="1"/>
          <w:rtl w:val="0"/>
        </w:rPr>
        <w:t xml:space="preserve">no band shows a TVT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4wgnk2pfaovq" w:id="5"/>
      <w:bookmarkEnd w:id="5"/>
      <w:r w:rsidDel="00000000" w:rsidR="00000000" w:rsidRPr="00000000">
        <w:rPr>
          <w:rtl w:val="0"/>
        </w:rPr>
        <w:t xml:space="preserve">2b. Defect 1 — below-control over-prune: replicates on mobile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10–12 served ≥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 served &lt;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−5.13%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13+ served ≥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13+ served &lt;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−6.25%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Same signature as OTT — dense titles kept at/above control gain, titles pruned below control lose. The per-title floor fix applies platform-wide.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s80idni3g2ep" w:id="6"/>
      <w:bookmarkEnd w:id="6"/>
      <w:r w:rsidDel="00000000" w:rsidR="00000000" w:rsidRPr="00000000">
        <w:rPr>
          <w:rtl w:val="0"/>
        </w:rPr>
        <w:t xml:space="preserve">2c. The series picture — the OTT gate-alignment defect is largely absent on mobile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+11.8%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+5.2%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+13.2%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+0.8%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+3.5%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−9.7%*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OTT, series lose revenue in every band ≥4 cp (placement × episode-gate misalignment, proven by gate simulation). On mobile, series are </w:t>
      </w:r>
      <w:r w:rsidDel="00000000" w:rsidR="00000000" w:rsidRPr="00000000">
        <w:rPr>
          <w:i w:val="1"/>
          <w:i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where they carry the most TVT and flat in the dense-mid bands — consistent with mobile's ad-config gates (different initial-slot/spacing values) not exposing ABF3's late-start/tight-spacing signature the way OTT's episode gates do. *The 13+ series negative persists — that band is dominated by the below-control </w:t>
      </w: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defect (the floor's territory), not placement.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z8ujkmm1homz" w:id="7"/>
      <w:bookmarkEnd w:id="7"/>
      <w:r w:rsidDel="00000000" w:rsidR="00000000" w:rsidRPr="00000000">
        <w:rPr>
          <w:rtl w:val="0"/>
        </w:rPr>
        <w:t xml:space="preserve">2d. Cohorts (Window B)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Cohort, on-title (ITT)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154,348 titles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+7.58% [+6.87, +8.29]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+0.34%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Top-up 38,116 titles (bands aggregate)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+8.79%</w:t>
            </w:r>
            <w:r w:rsidDel="00000000" w:rsidR="00000000" w:rsidRPr="00000000">
              <w:rPr>
                <w:rtl w:val="0"/>
              </w:rPr>
              <w:t xml:space="preserve"> treated-wide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in all bands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Top-up banded contribution ≈ </w:t>
      </w:r>
      <w:r w:rsidDel="00000000" w:rsidR="00000000" w:rsidRPr="00000000">
        <w:rPr>
          <w:b w:val="1"/>
          <w:bCs w:val="1"/>
          <w:rtl w:val="0"/>
        </w:rPr>
        <w:t xml:space="preserve">+1.78pp</w:t>
      </w:r>
      <w:r w:rsidDel="00000000" w:rsidR="00000000" w:rsidRPr="00000000">
        <w:rPr>
          <w:rtl w:val="0"/>
        </w:rPr>
        <w:t xml:space="preserve"> of mobile global (banded share 20.2%). Unlike OTT — where the top-up carries a real TVT cost — mobile shows </w:t>
      </w:r>
      <w:r w:rsidDel="00000000" w:rsidR="00000000" w:rsidRPr="00000000">
        <w:rPr>
          <w:b w:val="1"/>
          <w:bCs w:val="1"/>
          <w:rtl w:val="0"/>
        </w:rPr>
        <w:t xml:space="preserve">no engagement cost on either cohort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gn067qqw6nee" w:id="8"/>
      <w:bookmarkEnd w:id="8"/>
      <w:r w:rsidDel="00000000" w:rsidR="00000000" w:rsidRPr="00000000">
        <w:rPr>
          <w:rtl w:val="0"/>
        </w:rPr>
        <w:t xml:space="preserve">3. Decision frame (on revenue and TVT lift directly)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at the current config is close to a pure win: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+2.96% platform revenue at TVT flat on every lens and band. The one reservation is CI width — the global TVT bound (−0.49%) cannot yet exclude a v6-sized cost; more runtime tightens it.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floor fix has clear mobile upside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(13+/10–12 below-control drags −5 to −6%); the series placement fix is an OTT matter — on mobile there is little series deficit to recover outside 13+ (which the floor addresses).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Re-measure any changed pruner config (Window C) before graduating its numbers</w:t>
      </w:r>
      <w:r w:rsidDel="00000000" w:rsidR="00000000" w:rsidRPr="00000000">
        <w:rPr>
          <w:rtl w:val="0"/>
        </w:rPr>
        <w:t xml:space="preserve"> — same guardrail as OTT.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j0fa0a2n8ub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Appendix A — Window A (pre-top-up, 07-23 → 08-10)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global ITT revenue </w:t>
      </w:r>
      <w:r w:rsidDel="00000000" w:rsidR="00000000" w:rsidRPr="00000000">
        <w:rPr>
          <w:b w:val="1"/>
          <w:bCs w:val="1"/>
          <w:rtl w:val="0"/>
        </w:rPr>
        <w:t xml:space="preserve">+1.161%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[+0.876, +1.446], TVT +0.05% ns; on-title ITT +6.925% [+6.348, +7.501] / −0.176% ns; ToT on-title +6.805% / −0.232% ns; Active global +1.107%.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Bands (original set):</w:t>
      </w:r>
      <w:r w:rsidDel="00000000" w:rsidR="00000000" w:rsidRPr="00000000">
        <w:rPr>
          <w:rtl w:val="0"/>
        </w:rPr>
        <w:t xml:space="preserve"> 1–3 +9.16%, 4–6 +5.36%, 7–9 +10.12%, 10–12 +2.62%, 13+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−3.59%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TVT ns everywhere. Dense split: 10–12 at/above +4.66 vs below −4.62; 13+ at/above +2.20 vs below −5.96. Series positive at 1–6 (+9.1/+2.4), 7–9 −3.0, 13+ −6.2. Treated-wide +6.43%; banded share 15.5% (platform-scoped) → banded contribution ≈ +1.00pp.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Projection calibration: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Window A measured +1.16% global at ~15.5% banded revenue coverage. The v7 projection (+2.42% at ~40% universe share) scale-adjusted to that coverage ≈ +0.94% — </w:t>
      </w:r>
      <w:r w:rsidDel="00000000" w:rsidR="00000000" w:rsidRPr="00000000">
        <w:rPr>
          <w:b w:val="1"/>
          <w:bCs w:val="1"/>
          <w:rtl w:val="0"/>
        </w:rPr>
        <w:t xml:space="preserve">mobile tracked its projection almost exactly pre-add</w:t>
      </w:r>
      <w:r w:rsidDel="00000000" w:rsidR="00000000" w:rsidRPr="00000000">
        <w:rPr>
          <w:rtl w:val="0"/>
        </w:rPr>
        <w:t xml:space="preserve">, then over-delivered as the dense/movie-heavy top-up landed on a platform where those titles carry no TVT cost.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2264pcyo0b1" w:id="10"/>
      <w:bookmarkEnd w:id="10"/>
      <w:r w:rsidDel="00000000" w:rsidR="00000000" w:rsidRPr="00000000">
        <w:rPr>
          <w:rtl w:val="0"/>
        </w:rPr>
        <w:t xml:space="preserve">Appendix B — Window A vs B &amp; checks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revenue +1.16% → +2.96%: the delta ≈ the top-up's banded contribution (+1.78pp) — internally consistent.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Original-set Window B on-title: +7.58% / +0.34% ns — no moderation, no TVT emergence on the original cohort.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TVT flat in both windows, both cohorts, all bands — the OTT top-up TVT cost has </w:t>
      </w:r>
      <w:r w:rsidDel="00000000" w:rsidR="00000000" w:rsidRPr="00000000">
        <w:rPr>
          <w:b w:val="1"/>
          <w:bCs w:val="1"/>
          <w:rtl w:val="0"/>
        </w:rPr>
        <w:t xml:space="preserve">no mobile counterpart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Carryover: verified ≈nil on OTT (fresh vs veteran devices, design-level property of the shared title-level serving change); not re-run per platform.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Top-up verification, activation date (08-11, impressions test/control ratio step), and durable cue-point snapshot are shared with OTT (title-level; see OTT report Appendix B.4).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mdbwqrxxurb5" w:id="11"/>
      <w:bookmarkEnd w:id="11"/>
      <w:r w:rsidDel="00000000" w:rsidR="00000000" w:rsidRPr="00000000">
        <w:rPr>
          <w:rtl w:val="0"/>
        </w:rPr>
        <w:t xml:space="preserve">Appendix C — Methods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to the OTT report (windows: A = 07-23→08-10, add day 08-11 excluded, B = 08-12→08-20; CUPED pre 07-09→07-22; populations ITT / Active-since-exposure / ToT; unbudgeted programmatic revenue, TVT from video_session; estimators unchanged from the v6/v7 suite). Platform scoping: device-level cuts are scoped by the experiment's exposures (device_id is platform-specific); the banded revenue-share denominator is scoped to mobile platforms (android/iphone/ipad/firetablet/android_samsung). Artifacts: runs archived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…mobile…__run_2026-08-21_OUTPUT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/Users/bpulikkal@tubi.tv/ABF_3/</w:t>
      </w:r>
      <w:r w:rsidDel="00000000" w:rsidR="00000000" w:rsidRPr="00000000">
        <w:rPr>
          <w:rtl w:val="0"/>
        </w:rPr>
        <w:t xml:space="preserve">; results JSON in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.v8_refresh_results/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70VEKZ0sfDJTuslRZ_wLacBaXaBFVcwLtzfR_M7E88/edit" TargetMode="External"/><Relationship Id="rId7" Type="http://schemas.openxmlformats.org/officeDocument/2006/relationships/hyperlink" Target="https://docs.google.com/document/d/1u5RN6dlFRf1UBr0JkyYIpB7njVs10bezViUP6yikSH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