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eastAsia="zh-CN"/>
        </w:rPr>
      </w:pPr>
      <w:r>
        <w:rPr>
          <w:lang w:val="en-US" w:eastAsia="zh-CN"/>
        </w:rPr>
      </w:r>
    </w:p>
    <w:p>
      <w:pPr>
        <w:pStyle w:val="Heading2"/>
        <w:keepNext w:val="true"/>
        <w:keepLines/>
        <w:pageBreakBefore w:val="false"/>
        <w:widowControl w:val="false"/>
        <w:kinsoku w:val="true"/>
        <w:overflowPunct w:val="true"/>
        <w:autoSpaceDE w:val="true"/>
        <w:bidi w:val="0"/>
        <w:snapToGrid w:val="true"/>
        <w:spacing w:lineRule="auto" w:line="240"/>
        <w:ind w:hanging="0" w:start="0"/>
        <w:jc w:val="center"/>
        <w:textAlignment w:val="auto"/>
        <w:rPr>
          <w:rFonts w:ascii="方正小标宋简体" w:hAnsi="方正小标宋简体" w:eastAsia="方正小标宋简体" w:cs="方正小标宋简体"/>
          <w:b w:val="false"/>
          <w:bCs/>
          <w:sz w:val="36"/>
          <w:szCs w:val="36"/>
          <w:lang w:val="en-US" w:eastAsia="zh-CN"/>
        </w:rPr>
      </w:pPr>
      <w:r>
        <w:rPr>
          <w:rFonts w:eastAsia="方正小标宋简体" w:cs="方正小标宋简体" w:ascii="方正小标宋简体" w:hAnsi="方正小标宋简体"/>
          <w:b w:val="false"/>
          <w:bCs/>
          <w:sz w:val="36"/>
          <w:szCs w:val="36"/>
          <w:lang w:val="en-US" w:eastAsia="zh-CN"/>
        </w:rPr>
      </w:r>
    </w:p>
    <w:p>
      <w:pPr>
        <w:pStyle w:val="Heading2"/>
        <w:keepNext w:val="true"/>
        <w:keepLines/>
        <w:pageBreakBefore w:val="false"/>
        <w:widowControl w:val="false"/>
        <w:kinsoku w:val="true"/>
        <w:overflowPunct w:val="true"/>
        <w:autoSpaceDE w:val="true"/>
        <w:bidi w:val="0"/>
        <w:snapToGrid w:val="true"/>
        <w:spacing w:lineRule="auto" w:line="240"/>
        <w:ind w:hanging="0" w:start="0"/>
        <w:jc w:val="center"/>
        <w:textAlignment w:val="auto"/>
        <w:rPr>
          <w:rFonts w:ascii="方正小标宋简体" w:hAnsi="方正小标宋简体" w:eastAsia="方正小标宋简体" w:cs="方正小标宋简体"/>
          <w:b w:val="false"/>
          <w:bCs/>
          <w:sz w:val="36"/>
          <w:szCs w:val="36"/>
          <w:lang w:val="en-US" w:eastAsia="zh-CN"/>
        </w:rPr>
      </w:pPr>
      <w:r>
        <w:rPr>
          <w:rFonts w:ascii="方正小标宋简体" w:hAnsi="方正小标宋简体" w:cs="方正小标宋简体" w:eastAsia="方正小标宋简体"/>
          <w:b w:val="false"/>
          <w:bCs/>
          <w:sz w:val="36"/>
          <w:szCs w:val="36"/>
          <w:lang w:val="en-US" w:eastAsia="zh-CN"/>
        </w:rPr>
        <w:t>浙江大学</w:t>
      </w:r>
    </w:p>
    <w:p>
      <w:pPr>
        <w:pStyle w:val="Heading2"/>
        <w:keepNext w:val="true"/>
        <w:keepLines/>
        <w:pageBreakBefore w:val="false"/>
        <w:widowControl w:val="false"/>
        <w:kinsoku w:val="true"/>
        <w:overflowPunct w:val="true"/>
        <w:autoSpaceDE w:val="true"/>
        <w:bidi w:val="0"/>
        <w:snapToGrid w:val="true"/>
        <w:spacing w:lineRule="auto" w:line="240"/>
        <w:ind w:hanging="0" w:start="0"/>
        <w:jc w:val="center"/>
        <w:textAlignment w:val="auto"/>
        <w:rPr>
          <w:rFonts w:ascii="方正小标宋简体" w:hAnsi="方正小标宋简体" w:eastAsia="方正小标宋简体" w:cs="方正小标宋简体"/>
          <w:b w:val="false"/>
          <w:bCs/>
          <w:sz w:val="36"/>
          <w:szCs w:val="36"/>
          <w:lang w:val="en-US" w:eastAsia="zh-CN"/>
        </w:rPr>
      </w:pPr>
      <w:r>
        <w:rPr>
          <w:rFonts w:ascii="方正小标宋简体" w:hAnsi="方正小标宋简体" w:cs="方正小标宋简体" w:eastAsia="方正小标宋简体"/>
          <w:b w:val="false"/>
          <w:bCs/>
          <w:sz w:val="36"/>
          <w:szCs w:val="36"/>
          <w:lang w:val="en-US" w:eastAsia="zh-CN"/>
        </w:rPr>
        <w:t>第一届“海之子”杯</w:t>
      </w:r>
      <w:r>
        <w:rPr>
          <w:rFonts w:eastAsia="方正小标宋简体" w:cs="方正小标宋简体" w:ascii="方正小标宋简体" w:hAnsi="方正小标宋简体"/>
          <w:b w:val="false"/>
          <w:bCs/>
          <w:sz w:val="36"/>
          <w:szCs w:val="36"/>
          <w:lang w:val="en-US" w:eastAsia="zh-CN"/>
        </w:rPr>
        <w:t>AI</w:t>
      </w:r>
      <w:r>
        <w:rPr>
          <w:rFonts w:ascii="方正小标宋简体" w:hAnsi="方正小标宋简体" w:cs="方正小标宋简体" w:eastAsia="方正小标宋简体"/>
          <w:b w:val="false"/>
          <w:bCs/>
          <w:sz w:val="36"/>
          <w:szCs w:val="36"/>
          <w:lang w:val="en-US" w:eastAsia="zh-CN"/>
        </w:rPr>
        <w:t>智能体挑战计划</w:t>
      </w:r>
    </w:p>
    <w:p>
      <w:pPr>
        <w:pStyle w:val="Heading2"/>
        <w:keepNext w:val="true"/>
        <w:keepLines/>
        <w:pageBreakBefore w:val="false"/>
        <w:widowControl w:val="false"/>
        <w:kinsoku w:val="true"/>
        <w:overflowPunct w:val="true"/>
        <w:autoSpaceDE w:val="true"/>
        <w:bidi w:val="0"/>
        <w:snapToGrid w:val="true"/>
        <w:spacing w:lineRule="auto" w:line="240"/>
        <w:ind w:hanging="0" w:start="0"/>
        <w:jc w:val="center"/>
        <w:textAlignment w:val="auto"/>
        <w:rPr>
          <w:rFonts w:ascii="方正小标宋简体" w:hAnsi="方正小标宋简体" w:eastAsia="方正小标宋简体" w:cs="方正小标宋简体"/>
          <w:b w:val="false"/>
          <w:bCs/>
          <w:sz w:val="36"/>
          <w:szCs w:val="36"/>
          <w:lang w:val="en-US" w:eastAsia="zh-CN"/>
        </w:rPr>
      </w:pPr>
      <w:r>
        <w:rPr>
          <w:rFonts w:ascii="方正小标宋简体" w:hAnsi="方正小标宋简体" w:cs="方正小标宋简体" w:eastAsia="方正小标宋简体"/>
          <w:b w:val="false"/>
          <w:bCs/>
          <w:sz w:val="36"/>
          <w:szCs w:val="36"/>
          <w:lang w:val="en-US" w:eastAsia="zh-CN"/>
        </w:rPr>
        <w:t>项目申报书</w:t>
      </w:r>
    </w:p>
    <w:p>
      <w:pPr>
        <w:pStyle w:val="Normal"/>
        <w:jc w:val="start"/>
        <w:rPr>
          <w:rFonts w:ascii="宋体" w:hAnsi="宋体" w:eastAsia="宋体" w:cs="宋体"/>
          <w:b w:val="false"/>
          <w:bCs/>
          <w:sz w:val="28"/>
          <w:szCs w:val="22"/>
          <w:lang w:val="en-US" w:eastAsia="zh-CN"/>
        </w:rPr>
      </w:pPr>
      <w:r>
        <w:rPr>
          <w:rFonts w:eastAsia="宋体" w:cs="宋体" w:ascii="宋体" w:hAnsi="宋体"/>
          <w:b w:val="false"/>
          <w:bCs/>
          <w:sz w:val="28"/>
          <w:szCs w:val="22"/>
          <w:lang w:val="en-US" w:eastAsia="zh-CN"/>
        </w:rPr>
      </w:r>
    </w:p>
    <w:p>
      <w:pPr>
        <w:pStyle w:val="Normal"/>
        <w:jc w:val="start"/>
        <w:rPr>
          <w:rFonts w:ascii="宋体" w:hAnsi="宋体" w:eastAsia="宋体" w:cs="宋体"/>
          <w:sz w:val="28"/>
          <w:szCs w:val="22"/>
          <w:lang w:val="en-US" w:eastAsia="zh-CN"/>
        </w:rPr>
      </w:pPr>
      <w:r>
        <w:rPr>
          <w:rFonts w:eastAsia="宋体" w:cs="宋体" w:ascii="宋体" w:hAnsi="宋体"/>
          <w:sz w:val="28"/>
          <w:szCs w:val="22"/>
          <w:lang w:val="en-US" w:eastAsia="zh-CN"/>
        </w:rPr>
      </w:r>
    </w:p>
    <w:p>
      <w:pPr>
        <w:pStyle w:val="Normal"/>
        <w:jc w:val="start"/>
        <w:rPr>
          <w:rFonts w:ascii="宋体" w:hAnsi="宋体" w:eastAsia="宋体" w:cs="宋体"/>
          <w:b/>
          <w:bCs/>
          <w:sz w:val="28"/>
          <w:szCs w:val="22"/>
          <w:lang w:val="en-US" w:eastAsia="zh-CN"/>
        </w:rPr>
      </w:pPr>
      <w:r>
        <w:rPr>
          <w:rFonts w:eastAsia="宋体" w:cs="宋体" w:ascii="宋体" w:hAnsi="宋体"/>
          <w:b/>
          <w:bCs/>
          <w:sz w:val="28"/>
          <w:szCs w:val="22"/>
          <w:lang w:val="en-US" w:eastAsia="zh-CN"/>
        </w:rPr>
      </w:r>
    </w:p>
    <w:tbl>
      <w:tblPr>
        <w:tblW w:w="8522" w:type="dxa"/>
        <w:jc w:val="start"/>
        <w:tblInd w:w="0" w:type="dxa"/>
        <w:tblLayout w:type="fixed"/>
        <w:tblCellMar>
          <w:top w:w="0" w:type="dxa"/>
          <w:start w:w="108" w:type="dxa"/>
          <w:bottom w:w="0" w:type="dxa"/>
          <w:end w:w="108" w:type="dxa"/>
        </w:tblCellMar>
      </w:tblPr>
      <w:tblGrid>
        <w:gridCol w:w="2979"/>
        <w:gridCol w:w="5543"/>
      </w:tblGrid>
      <w:tr>
        <w:trPr/>
        <w:tc>
          <w:tcPr>
            <w:tcW w:w="2979" w:type="dxa"/>
            <w:tcBorders/>
            <w:vAlign w:val="bottom"/>
          </w:tcPr>
          <w:p>
            <w:pPr>
              <w:pStyle w:val="Normal"/>
              <w:spacing w:lineRule="auto" w:line="600"/>
              <w:jc w:val="center"/>
              <w:rPr>
                <w:rFonts w:ascii="黑体" w:hAnsi="黑体" w:eastAsia="黑体" w:cs="黑体"/>
                <w:position w:val="-50"/>
                <w:sz w:val="22"/>
                <w:szCs w:val="28"/>
              </w:rPr>
            </w:pPr>
            <w:r>
              <w:rPr>
                <w:rFonts w:ascii="黑体" w:hAnsi="黑体" w:cs="黑体" w:eastAsia="黑体"/>
                <w:b/>
                <w:bCs/>
                <w:spacing w:val="213"/>
                <w:kern w:val="0"/>
                <w:position w:val="-50"/>
                <w:sz w:val="32"/>
                <w:szCs w:val="24"/>
                <w:lang w:val="en-US" w:eastAsia="zh-CN"/>
              </w:rPr>
              <w:t>项目名</w:t>
            </w:r>
            <w:r>
              <w:rPr>
                <w:rFonts w:ascii="黑体" w:hAnsi="黑体" w:cs="黑体" w:eastAsia="黑体"/>
                <w:b/>
                <w:bCs/>
                <w:spacing w:val="1"/>
                <w:kern w:val="0"/>
                <w:position w:val="-50"/>
                <w:sz w:val="32"/>
                <w:szCs w:val="24"/>
                <w:lang w:val="en-US" w:eastAsia="zh-CN"/>
              </w:rPr>
              <w:t>称</w:t>
            </w:r>
            <w:r>
              <w:rPr>
                <w:rFonts w:ascii="黑体" w:hAnsi="黑体" w:cs="黑体" w:eastAsia="黑体"/>
                <w:b/>
                <w:bCs/>
                <w:kern w:val="0"/>
                <w:position w:val="-50"/>
                <w:sz w:val="32"/>
                <w:szCs w:val="24"/>
                <w:lang w:val="en-US" w:eastAsia="zh-CN"/>
              </w:rPr>
              <w:t>：</w:t>
            </w:r>
          </w:p>
        </w:tc>
        <w:tc>
          <w:tcPr>
            <w:tcW w:w="5543" w:type="dxa"/>
            <w:tcBorders>
              <w:bottom w:val="single" w:sz="4" w:space="0" w:color="000000"/>
            </w:tcBorders>
            <w:vAlign w:val="bottom"/>
          </w:tcPr>
          <w:p>
            <w:pPr>
              <w:pStyle w:val="Normal"/>
              <w:snapToGrid w:val="false"/>
              <w:spacing w:lineRule="auto" w:line="600"/>
              <w:jc w:val="center"/>
              <w:rPr>
                <w:rFonts w:ascii="黑体" w:hAnsi="黑体" w:eastAsia="黑体" w:cs="黑体"/>
                <w:position w:val="-50"/>
                <w:sz w:val="22"/>
                <w:szCs w:val="28"/>
              </w:rPr>
            </w:pPr>
            <w:r>
              <w:rPr>
                <w:rFonts w:eastAsia="黑体" w:cs="黑体" w:ascii="黑体" w:hAnsi="黑体"/>
                <w:position w:val="-50"/>
                <w:sz w:val="22"/>
                <w:szCs w:val="28"/>
              </w:rPr>
              <w:t>筑衡：面向“好房子”建设的建筑方案智能比选智能体</w:t>
            </w:r>
          </w:p>
        </w:tc>
      </w:tr>
      <w:tr>
        <w:trPr/>
        <w:tc>
          <w:tcPr>
            <w:tcW w:w="2979" w:type="dxa"/>
            <w:tcBorders/>
            <w:vAlign w:val="bottom"/>
          </w:tcPr>
          <w:p>
            <w:pPr>
              <w:pStyle w:val="Normal"/>
              <w:spacing w:lineRule="auto" w:line="600"/>
              <w:jc w:val="center"/>
              <w:rPr>
                <w:rFonts w:ascii="黑体" w:hAnsi="黑体" w:eastAsia="黑体" w:cs="黑体"/>
                <w:position w:val="-50"/>
                <w:sz w:val="22"/>
                <w:szCs w:val="28"/>
              </w:rPr>
            </w:pPr>
            <w:r>
              <w:rPr>
                <w:rFonts w:ascii="黑体" w:hAnsi="黑体" w:cs="黑体" w:eastAsia="黑体"/>
                <w:b/>
                <w:bCs/>
                <w:spacing w:val="120"/>
                <w:w w:val="100"/>
                <w:kern w:val="0"/>
                <w:position w:val="-50"/>
                <w:sz w:val="32"/>
                <w:szCs w:val="24"/>
                <w:lang w:val="en-US" w:eastAsia="zh-CN"/>
              </w:rPr>
              <w:t>申请者姓</w:t>
            </w:r>
            <w:r>
              <w:rPr>
                <w:rFonts w:ascii="黑体" w:hAnsi="黑体" w:cs="黑体" w:eastAsia="黑体"/>
                <w:b/>
                <w:bCs/>
                <w:spacing w:val="0"/>
                <w:w w:val="100"/>
                <w:kern w:val="0"/>
                <w:position w:val="-50"/>
                <w:sz w:val="32"/>
                <w:szCs w:val="24"/>
                <w:lang w:val="en-US" w:eastAsia="zh-CN"/>
              </w:rPr>
              <w:t>名</w:t>
            </w:r>
            <w:r>
              <w:rPr>
                <w:rFonts w:ascii="黑体" w:hAnsi="黑体" w:cs="黑体" w:eastAsia="黑体"/>
                <w:b/>
                <w:bCs/>
                <w:kern w:val="0"/>
                <w:position w:val="-50"/>
                <w:sz w:val="32"/>
                <w:szCs w:val="24"/>
                <w:lang w:val="en-US" w:eastAsia="zh-CN"/>
              </w:rPr>
              <w:t>：</w:t>
            </w:r>
          </w:p>
        </w:tc>
        <w:tc>
          <w:tcPr>
            <w:tcW w:w="5543" w:type="dxa"/>
            <w:tcBorders>
              <w:top w:val="single" w:sz="4" w:space="0" w:color="000000"/>
              <w:bottom w:val="single" w:sz="4" w:space="0" w:color="000000"/>
            </w:tcBorders>
            <w:vAlign w:val="bottom"/>
          </w:tcPr>
          <w:p>
            <w:pPr>
              <w:pStyle w:val="Normal"/>
              <w:snapToGrid w:val="false"/>
              <w:spacing w:lineRule="auto" w:line="600"/>
              <w:jc w:val="center"/>
              <w:rPr>
                <w:rFonts w:ascii="黑体" w:hAnsi="黑体" w:eastAsia="黑体" w:cs="黑体"/>
                <w:position w:val="-50"/>
                <w:sz w:val="22"/>
                <w:szCs w:val="28"/>
              </w:rPr>
            </w:pPr>
            <w:r>
              <w:rPr>
                <w:rFonts w:eastAsia="黑体" w:cs="黑体" w:ascii="黑体" w:hAnsi="黑体"/>
                <w:position w:val="-50"/>
                <w:sz w:val="22"/>
                <w:szCs w:val="28"/>
              </w:rPr>
            </w:r>
          </w:p>
        </w:tc>
      </w:tr>
      <w:tr>
        <w:trPr/>
        <w:tc>
          <w:tcPr>
            <w:tcW w:w="2979" w:type="dxa"/>
            <w:tcBorders/>
            <w:vAlign w:val="bottom"/>
          </w:tcPr>
          <w:p>
            <w:pPr>
              <w:pStyle w:val="Normal"/>
              <w:spacing w:lineRule="auto" w:line="600"/>
              <w:jc w:val="center"/>
              <w:rPr>
                <w:rFonts w:ascii="黑体" w:hAnsi="黑体" w:eastAsia="黑体" w:cs="黑体"/>
                <w:position w:val="-50"/>
                <w:sz w:val="22"/>
                <w:szCs w:val="28"/>
              </w:rPr>
            </w:pPr>
            <w:r>
              <w:rPr>
                <w:rFonts w:ascii="黑体" w:hAnsi="黑体" w:cs="黑体" w:eastAsia="黑体"/>
                <w:b/>
                <w:bCs/>
                <w:spacing w:val="26"/>
                <w:w w:val="100"/>
                <w:kern w:val="0"/>
                <w:position w:val="-50"/>
                <w:sz w:val="32"/>
                <w:szCs w:val="24"/>
                <w:lang w:val="en-US" w:eastAsia="zh-CN"/>
              </w:rPr>
              <w:t>申请者所在学</w:t>
            </w:r>
            <w:r>
              <w:rPr>
                <w:rFonts w:ascii="黑体" w:hAnsi="黑体" w:cs="黑体" w:eastAsia="黑体"/>
                <w:b/>
                <w:bCs/>
                <w:spacing w:val="4"/>
                <w:w w:val="100"/>
                <w:kern w:val="0"/>
                <w:position w:val="-50"/>
                <w:sz w:val="32"/>
                <w:szCs w:val="24"/>
                <w:lang w:val="en-US" w:eastAsia="zh-CN"/>
              </w:rPr>
              <w:t>院</w:t>
            </w:r>
            <w:r>
              <w:rPr>
                <w:rFonts w:ascii="黑体" w:hAnsi="黑体" w:cs="黑体" w:eastAsia="黑体"/>
                <w:b/>
                <w:bCs/>
                <w:kern w:val="0"/>
                <w:position w:val="-50"/>
                <w:sz w:val="32"/>
                <w:szCs w:val="24"/>
                <w:lang w:val="en-US" w:eastAsia="zh-CN"/>
              </w:rPr>
              <w:t>：</w:t>
            </w:r>
          </w:p>
        </w:tc>
        <w:tc>
          <w:tcPr>
            <w:tcW w:w="5543" w:type="dxa"/>
            <w:tcBorders>
              <w:top w:val="single" w:sz="4" w:space="0" w:color="000000"/>
              <w:bottom w:val="single" w:sz="4" w:space="0" w:color="000000"/>
            </w:tcBorders>
            <w:vAlign w:val="bottom"/>
          </w:tcPr>
          <w:p>
            <w:pPr>
              <w:pStyle w:val="Normal"/>
              <w:snapToGrid w:val="false"/>
              <w:spacing w:lineRule="auto" w:line="600"/>
              <w:jc w:val="center"/>
              <w:rPr>
                <w:rFonts w:ascii="黑体" w:hAnsi="黑体" w:eastAsia="黑体" w:cs="黑体"/>
                <w:position w:val="-50"/>
                <w:sz w:val="22"/>
                <w:szCs w:val="28"/>
              </w:rPr>
            </w:pPr>
            <w:r>
              <w:rPr>
                <w:rFonts w:eastAsia="黑体" w:cs="黑体" w:ascii="黑体" w:hAnsi="黑体"/>
                <w:position w:val="-50"/>
                <w:sz w:val="22"/>
                <w:szCs w:val="28"/>
              </w:rPr>
            </w:r>
          </w:p>
        </w:tc>
      </w:tr>
      <w:tr>
        <w:trPr/>
        <w:tc>
          <w:tcPr>
            <w:tcW w:w="2979" w:type="dxa"/>
            <w:tcBorders/>
            <w:vAlign w:val="bottom"/>
          </w:tcPr>
          <w:p>
            <w:pPr>
              <w:pStyle w:val="Normal"/>
              <w:spacing w:lineRule="auto" w:line="600"/>
              <w:jc w:val="center"/>
              <w:rPr>
                <w:rFonts w:ascii="黑体" w:hAnsi="黑体" w:eastAsia="黑体" w:cs="黑体"/>
                <w:position w:val="-50"/>
                <w:sz w:val="22"/>
                <w:szCs w:val="28"/>
              </w:rPr>
            </w:pPr>
            <w:r>
              <w:rPr>
                <w:rFonts w:ascii="黑体" w:hAnsi="黑体" w:cs="黑体" w:eastAsia="黑体"/>
                <w:b/>
                <w:bCs/>
                <w:spacing w:val="64"/>
                <w:w w:val="100"/>
                <w:kern w:val="0"/>
                <w:position w:val="-50"/>
                <w:sz w:val="32"/>
                <w:szCs w:val="24"/>
                <w:lang w:val="en-US" w:eastAsia="zh-CN"/>
              </w:rPr>
              <w:t>指导教师姓</w:t>
            </w:r>
            <w:r>
              <w:rPr>
                <w:rFonts w:ascii="黑体" w:hAnsi="黑体" w:cs="黑体" w:eastAsia="黑体"/>
                <w:b/>
                <w:bCs/>
                <w:spacing w:val="0"/>
                <w:w w:val="100"/>
                <w:kern w:val="0"/>
                <w:position w:val="-50"/>
                <w:sz w:val="32"/>
                <w:szCs w:val="24"/>
                <w:lang w:val="en-US" w:eastAsia="zh-CN"/>
              </w:rPr>
              <w:t>名</w:t>
            </w:r>
            <w:r>
              <w:rPr>
                <w:rFonts w:ascii="黑体" w:hAnsi="黑体" w:cs="黑体" w:eastAsia="黑体"/>
                <w:b/>
                <w:bCs/>
                <w:kern w:val="0"/>
                <w:position w:val="-50"/>
                <w:sz w:val="32"/>
                <w:szCs w:val="24"/>
                <w:lang w:val="en-US" w:eastAsia="zh-CN"/>
              </w:rPr>
              <w:t>：</w:t>
            </w:r>
          </w:p>
        </w:tc>
        <w:tc>
          <w:tcPr>
            <w:tcW w:w="5543" w:type="dxa"/>
            <w:tcBorders>
              <w:top w:val="single" w:sz="4" w:space="0" w:color="000000"/>
              <w:bottom w:val="single" w:sz="4" w:space="0" w:color="000000"/>
            </w:tcBorders>
            <w:vAlign w:val="bottom"/>
          </w:tcPr>
          <w:p>
            <w:pPr>
              <w:pStyle w:val="Normal"/>
              <w:snapToGrid w:val="false"/>
              <w:spacing w:lineRule="auto" w:line="600"/>
              <w:jc w:val="center"/>
              <w:rPr>
                <w:rFonts w:ascii="黑体" w:hAnsi="黑体" w:eastAsia="黑体" w:cs="黑体"/>
                <w:position w:val="-50"/>
                <w:sz w:val="22"/>
                <w:szCs w:val="28"/>
              </w:rPr>
            </w:pPr>
            <w:r>
              <w:rPr>
                <w:rFonts w:eastAsia="黑体" w:cs="黑体" w:ascii="黑体" w:hAnsi="黑体"/>
                <w:position w:val="-50"/>
                <w:sz w:val="22"/>
                <w:szCs w:val="28"/>
              </w:rPr>
            </w:r>
          </w:p>
        </w:tc>
      </w:tr>
      <w:tr>
        <w:trPr/>
        <w:tc>
          <w:tcPr>
            <w:tcW w:w="2979" w:type="dxa"/>
            <w:tcBorders/>
            <w:vAlign w:val="bottom"/>
          </w:tcPr>
          <w:p>
            <w:pPr>
              <w:pStyle w:val="Normal"/>
              <w:spacing w:lineRule="auto" w:line="600"/>
              <w:jc w:val="center"/>
              <w:rPr>
                <w:rFonts w:ascii="黑体" w:hAnsi="黑体" w:eastAsia="黑体" w:cs="黑体"/>
                <w:position w:val="-50"/>
                <w:sz w:val="22"/>
                <w:szCs w:val="28"/>
              </w:rPr>
            </w:pPr>
            <w:r>
              <w:rPr>
                <w:rFonts w:ascii="黑体" w:hAnsi="黑体" w:cs="黑体" w:eastAsia="黑体"/>
                <w:b/>
                <w:bCs/>
                <w:spacing w:val="0"/>
                <w:w w:val="100"/>
                <w:kern w:val="0"/>
                <w:position w:val="-50"/>
                <w:sz w:val="32"/>
                <w:szCs w:val="24"/>
                <w:lang w:val="en-US" w:eastAsia="zh-CN"/>
              </w:rPr>
              <w:t>指导教师所在学院</w:t>
            </w:r>
            <w:r>
              <w:rPr>
                <w:rFonts w:ascii="黑体" w:hAnsi="黑体" w:cs="黑体" w:eastAsia="黑体"/>
                <w:b/>
                <w:bCs/>
                <w:kern w:val="0"/>
                <w:position w:val="-50"/>
                <w:sz w:val="32"/>
                <w:szCs w:val="24"/>
                <w:lang w:val="en-US" w:eastAsia="zh-CN"/>
              </w:rPr>
              <w:t>：</w:t>
            </w:r>
          </w:p>
        </w:tc>
        <w:tc>
          <w:tcPr>
            <w:tcW w:w="5543" w:type="dxa"/>
            <w:tcBorders>
              <w:top w:val="single" w:sz="4" w:space="0" w:color="000000"/>
              <w:bottom w:val="single" w:sz="4" w:space="0" w:color="000000"/>
            </w:tcBorders>
            <w:vAlign w:val="bottom"/>
          </w:tcPr>
          <w:p>
            <w:pPr>
              <w:pStyle w:val="Normal"/>
              <w:snapToGrid w:val="false"/>
              <w:spacing w:lineRule="auto" w:line="600"/>
              <w:jc w:val="center"/>
              <w:rPr>
                <w:rFonts w:ascii="黑体" w:hAnsi="黑体" w:eastAsia="黑体" w:cs="黑体"/>
                <w:position w:val="-50"/>
                <w:sz w:val="22"/>
                <w:szCs w:val="28"/>
              </w:rPr>
            </w:pPr>
            <w:r>
              <w:rPr>
                <w:rFonts w:eastAsia="黑体" w:cs="黑体" w:ascii="黑体" w:hAnsi="黑体"/>
                <w:position w:val="-50"/>
                <w:sz w:val="22"/>
                <w:szCs w:val="28"/>
              </w:rPr>
            </w:r>
          </w:p>
        </w:tc>
      </w:tr>
      <w:tr>
        <w:trPr/>
        <w:tc>
          <w:tcPr>
            <w:tcW w:w="2979" w:type="dxa"/>
            <w:tcBorders/>
            <w:vAlign w:val="bottom"/>
          </w:tcPr>
          <w:p>
            <w:pPr>
              <w:pStyle w:val="Normal"/>
              <w:spacing w:lineRule="auto" w:line="600"/>
              <w:jc w:val="center"/>
              <w:rPr>
                <w:rFonts w:ascii="黑体" w:hAnsi="黑体" w:eastAsia="黑体" w:cs="黑体"/>
                <w:position w:val="-50"/>
                <w:sz w:val="22"/>
                <w:szCs w:val="28"/>
              </w:rPr>
            </w:pPr>
            <w:r>
              <w:rPr>
                <w:rFonts w:ascii="黑体" w:hAnsi="黑体" w:cs="黑体" w:eastAsia="黑体"/>
                <w:b/>
                <w:bCs/>
                <w:spacing w:val="213"/>
                <w:kern w:val="0"/>
                <w:position w:val="-50"/>
                <w:sz w:val="32"/>
                <w:szCs w:val="24"/>
                <w:lang w:val="en-US" w:eastAsia="zh-CN"/>
              </w:rPr>
              <w:t>填表日</w:t>
            </w:r>
            <w:r>
              <w:rPr>
                <w:rFonts w:ascii="黑体" w:hAnsi="黑体" w:cs="黑体" w:eastAsia="黑体"/>
                <w:b/>
                <w:bCs/>
                <w:spacing w:val="1"/>
                <w:kern w:val="0"/>
                <w:position w:val="-50"/>
                <w:sz w:val="32"/>
                <w:szCs w:val="24"/>
                <w:lang w:val="en-US" w:eastAsia="zh-CN"/>
              </w:rPr>
              <w:t>期</w:t>
            </w:r>
            <w:r>
              <w:rPr>
                <w:rFonts w:ascii="黑体" w:hAnsi="黑体" w:cs="黑体" w:eastAsia="黑体"/>
                <w:b/>
                <w:bCs/>
                <w:kern w:val="0"/>
                <w:position w:val="-50"/>
                <w:sz w:val="32"/>
                <w:szCs w:val="24"/>
                <w:lang w:val="en-US" w:eastAsia="zh-CN"/>
              </w:rPr>
              <w:t>：</w:t>
            </w:r>
          </w:p>
        </w:tc>
        <w:tc>
          <w:tcPr>
            <w:tcW w:w="5543" w:type="dxa"/>
            <w:tcBorders>
              <w:top w:val="single" w:sz="4" w:space="0" w:color="000000"/>
              <w:bottom w:val="single" w:sz="4" w:space="0" w:color="000000"/>
            </w:tcBorders>
            <w:vAlign w:val="bottom"/>
          </w:tcPr>
          <w:p>
            <w:pPr>
              <w:pStyle w:val="Normal"/>
              <w:snapToGrid w:val="false"/>
              <w:spacing w:lineRule="auto" w:line="600"/>
              <w:jc w:val="center"/>
              <w:rPr>
                <w:rFonts w:ascii="黑体" w:hAnsi="黑体" w:eastAsia="黑体" w:cs="黑体"/>
                <w:position w:val="-50"/>
                <w:sz w:val="22"/>
                <w:szCs w:val="28"/>
              </w:rPr>
            </w:pPr>
            <w:r>
              <w:rPr>
                <w:rFonts w:eastAsia="黑体" w:cs="黑体" w:ascii="黑体" w:hAnsi="黑体"/>
                <w:position w:val="-50"/>
                <w:sz w:val="22"/>
                <w:szCs w:val="28"/>
              </w:rPr>
            </w:r>
          </w:p>
        </w:tc>
      </w:tr>
    </w:tbl>
    <w:p>
      <w:pPr>
        <w:pStyle w:val="Normal"/>
        <w:spacing w:lineRule="auto" w:line="600"/>
        <w:jc w:val="start"/>
        <w:rPr>
          <w:rFonts w:ascii="宋体" w:hAnsi="宋体" w:eastAsia="宋体" w:cs="宋体"/>
          <w:b/>
          <w:bCs/>
          <w:sz w:val="28"/>
          <w:szCs w:val="22"/>
          <w:lang w:val="en-US" w:eastAsia="zh-CN"/>
        </w:rPr>
      </w:pPr>
      <w:r>
        <w:rPr>
          <w:rFonts w:eastAsia="宋体" w:cs="宋体" w:ascii="宋体" w:hAnsi="宋体"/>
          <w:b/>
          <w:bCs/>
          <w:sz w:val="28"/>
          <w:szCs w:val="22"/>
          <w:lang w:val="en-US" w:eastAsia="zh-CN"/>
        </w:rPr>
      </w:r>
    </w:p>
    <w:p>
      <w:pPr>
        <w:pStyle w:val="Normal"/>
        <w:spacing w:lineRule="auto" w:line="600"/>
        <w:jc w:val="start"/>
        <w:rPr>
          <w:rFonts w:ascii="宋体" w:hAnsi="宋体" w:eastAsia="宋体" w:cs="宋体"/>
          <w:b/>
          <w:bCs/>
          <w:sz w:val="28"/>
          <w:szCs w:val="22"/>
          <w:lang w:val="en-US" w:eastAsia="zh-CN"/>
        </w:rPr>
      </w:pPr>
      <w:r>
        <w:rPr>
          <w:rFonts w:eastAsia="宋体" w:cs="宋体" w:ascii="宋体" w:hAnsi="宋体"/>
          <w:b/>
          <w:bCs/>
          <w:sz w:val="28"/>
          <w:szCs w:val="22"/>
          <w:lang w:val="en-US" w:eastAsia="zh-CN"/>
        </w:rPr>
      </w:r>
    </w:p>
    <w:p>
      <w:pPr>
        <w:pStyle w:val="Normal"/>
        <w:spacing w:lineRule="auto" w:line="600"/>
        <w:jc w:val="start"/>
        <w:rPr>
          <w:rFonts w:ascii="宋体" w:hAnsi="宋体" w:eastAsia="宋体" w:cs="宋体"/>
          <w:b/>
          <w:bCs/>
          <w:sz w:val="28"/>
          <w:szCs w:val="22"/>
          <w:lang w:val="en-US" w:eastAsia="zh-CN"/>
        </w:rPr>
      </w:pPr>
      <w:r>
        <w:rPr>
          <w:rFonts w:eastAsia="宋体" w:cs="宋体" w:ascii="宋体" w:hAnsi="宋体"/>
          <w:b/>
          <w:bCs/>
          <w:sz w:val="28"/>
          <w:szCs w:val="22"/>
          <w:lang w:val="en-US" w:eastAsia="zh-CN"/>
        </w:rPr>
      </w:r>
    </w:p>
    <w:p>
      <w:pPr>
        <w:pStyle w:val="Normal"/>
        <w:spacing w:lineRule="auto" w:line="600"/>
        <w:jc w:val="both"/>
        <w:rPr>
          <w:rFonts w:ascii="黑体" w:hAnsi="黑体" w:eastAsia="黑体" w:cs="黑体"/>
          <w:b/>
          <w:bCs/>
          <w:sz w:val="44"/>
          <w:szCs w:val="44"/>
          <w:lang w:val="en-US" w:eastAsia="zh-CN"/>
        </w:rPr>
      </w:pPr>
      <w:r>
        <w:rPr>
          <w:rFonts w:eastAsia="黑体" w:cs="黑体" w:ascii="黑体" w:hAnsi="黑体"/>
          <w:b/>
          <w:bCs/>
          <w:sz w:val="44"/>
          <w:szCs w:val="44"/>
          <w:lang w:val="en-US" w:eastAsia="zh-CN"/>
        </w:rPr>
      </w:r>
    </w:p>
    <w:p>
      <w:pPr>
        <w:pStyle w:val="Normal"/>
        <w:spacing w:lineRule="auto" w:line="600"/>
        <w:jc w:val="center"/>
        <w:rPr>
          <w:rFonts w:ascii="黑体" w:hAnsi="黑体" w:eastAsia="黑体" w:cs="黑体"/>
          <w:b/>
          <w:bCs/>
          <w:sz w:val="44"/>
          <w:szCs w:val="44"/>
          <w:lang w:val="en-US" w:eastAsia="zh-CN"/>
        </w:rPr>
      </w:pPr>
      <w:r>
        <w:rPr>
          <w:rFonts w:ascii="黑体" w:hAnsi="黑体" w:cs="黑体" w:eastAsia="黑体"/>
          <w:b/>
          <w:bCs/>
          <w:sz w:val="44"/>
          <w:szCs w:val="44"/>
          <w:lang w:val="en-US" w:eastAsia="zh-CN"/>
        </w:rPr>
        <w:t>填表及报送材料要求</w:t>
      </w:r>
    </w:p>
    <w:p>
      <w:pPr>
        <w:pStyle w:val="Normal"/>
        <w:spacing w:lineRule="auto" w:line="600"/>
        <w:jc w:val="center"/>
        <w:rPr>
          <w:rFonts w:ascii="宋体" w:hAnsi="宋体" w:eastAsia="宋体" w:cs="宋体"/>
          <w:b/>
          <w:bCs/>
          <w:sz w:val="44"/>
          <w:szCs w:val="44"/>
          <w:lang w:val="en-US" w:eastAsia="zh-CN"/>
        </w:rPr>
      </w:pPr>
      <w:r>
        <w:rPr>
          <w:rFonts w:eastAsia="宋体" w:cs="宋体" w:ascii="宋体" w:hAnsi="宋体"/>
          <w:b/>
          <w:bCs/>
          <w:sz w:val="44"/>
          <w:szCs w:val="44"/>
          <w:lang w:val="en-US" w:eastAsia="zh-CN"/>
        </w:rPr>
      </w:r>
    </w:p>
    <w:p>
      <w:pPr>
        <w:pStyle w:val="Normal"/>
        <w:numPr>
          <w:ilvl w:val="0"/>
          <w:numId w:val="2"/>
        </w:numPr>
        <w:spacing w:lineRule="auto" w:line="600"/>
        <w:jc w:val="start"/>
        <w:rPr>
          <w:rFonts w:ascii="宋体" w:hAnsi="宋体" w:eastAsia="宋体" w:cs="宋体"/>
          <w:b/>
          <w:bCs/>
          <w:sz w:val="32"/>
          <w:szCs w:val="32"/>
          <w:lang w:val="en-US" w:eastAsia="zh-CN"/>
        </w:rPr>
      </w:pPr>
      <w:r>
        <w:rPr>
          <w:rFonts w:ascii="宋体" w:hAnsi="宋体" w:cs="宋体"/>
          <w:b/>
          <w:bCs/>
          <w:sz w:val="32"/>
          <w:szCs w:val="32"/>
          <w:lang w:val="en-US" w:eastAsia="zh-CN"/>
        </w:rPr>
        <w:t>学生填写立项申报表前，请先咨询指导教师或有关专业教师。申报书的各项内容要求实事求是，逐条认真填写，表达明确、严谨。</w:t>
      </w:r>
    </w:p>
    <w:p>
      <w:pPr>
        <w:pStyle w:val="Normal"/>
        <w:numPr>
          <w:ilvl w:val="0"/>
          <w:numId w:val="2"/>
        </w:numPr>
        <w:spacing w:lineRule="auto" w:line="600"/>
        <w:jc w:val="start"/>
        <w:rPr>
          <w:rFonts w:ascii="宋体" w:hAnsi="宋体" w:eastAsia="宋体" w:cs="宋体"/>
          <w:b/>
          <w:bCs/>
          <w:sz w:val="32"/>
          <w:szCs w:val="32"/>
          <w:lang w:val="en-US" w:eastAsia="zh-CN"/>
        </w:rPr>
      </w:pPr>
      <w:r>
        <w:rPr>
          <w:rFonts w:ascii="宋体" w:hAnsi="宋体" w:cs="宋体"/>
          <w:b/>
          <w:bCs/>
          <w:sz w:val="32"/>
          <w:szCs w:val="32"/>
          <w:lang w:val="en-US" w:eastAsia="zh-CN"/>
        </w:rPr>
        <w:t>申报书</w:t>
      </w:r>
      <w:r>
        <w:rPr>
          <w:rFonts w:ascii="宋体" w:hAnsi="宋体" w:cs="宋体"/>
          <w:b/>
          <w:bCs/>
          <w:sz w:val="32"/>
          <w:szCs w:val="32"/>
          <w:lang w:val="en-US" w:eastAsia="zh-CN"/>
        </w:rPr>
        <w:t>正文</w:t>
      </w:r>
      <w:r>
        <w:rPr>
          <w:rFonts w:ascii="宋体" w:hAnsi="宋体" w:cs="宋体"/>
          <w:b/>
          <w:bCs/>
          <w:sz w:val="32"/>
          <w:szCs w:val="32"/>
          <w:lang w:val="en-US" w:eastAsia="zh-CN"/>
        </w:rPr>
        <w:t xml:space="preserve">填写内容用宋体 </w:t>
      </w:r>
      <w:r>
        <w:rPr>
          <w:rFonts w:eastAsia="宋体" w:cs="宋体" w:ascii="宋体" w:hAnsi="宋体"/>
          <w:b/>
          <w:bCs/>
          <w:sz w:val="32"/>
          <w:szCs w:val="32"/>
          <w:lang w:val="en-US" w:eastAsia="zh-CN"/>
        </w:rPr>
        <w:t xml:space="preserve">5 </w:t>
      </w:r>
      <w:r>
        <w:rPr>
          <w:rFonts w:ascii="宋体" w:hAnsi="宋体" w:cs="宋体"/>
          <w:b/>
          <w:bCs/>
          <w:sz w:val="32"/>
          <w:szCs w:val="32"/>
          <w:lang w:val="en-US" w:eastAsia="zh-CN"/>
        </w:rPr>
        <w:t xml:space="preserve">号字体，行距 </w:t>
      </w:r>
      <w:r>
        <w:rPr>
          <w:rFonts w:eastAsia="宋体" w:cs="宋体" w:ascii="宋体" w:hAnsi="宋体"/>
          <w:b/>
          <w:bCs/>
          <w:sz w:val="32"/>
          <w:szCs w:val="32"/>
          <w:lang w:val="en-US" w:eastAsia="zh-CN"/>
        </w:rPr>
        <w:t xml:space="preserve">22 </w:t>
      </w:r>
      <w:r>
        <w:rPr>
          <w:rFonts w:ascii="宋体" w:hAnsi="宋体" w:cs="宋体"/>
          <w:b/>
          <w:bCs/>
          <w:sz w:val="32"/>
          <w:szCs w:val="32"/>
          <w:lang w:val="en-US" w:eastAsia="zh-CN"/>
        </w:rPr>
        <w:t>磅。</w:t>
      </w:r>
    </w:p>
    <w:p>
      <w:pPr>
        <w:sectPr>
          <w:type w:val="nextPage"/>
          <w:pgSz w:w="11906" w:h="16838"/>
          <w:pgMar w:left="1800" w:right="1800" w:gutter="0" w:header="0" w:top="1440" w:footer="0" w:bottom="1440"/>
          <w:pgNumType w:fmt="decimal"/>
          <w:formProt w:val="false"/>
          <w:textDirection w:val="lrTb"/>
          <w:docGrid w:type="lines" w:linePitch="312" w:charSpace="0"/>
        </w:sectPr>
        <w:pStyle w:val="Normal"/>
        <w:numPr>
          <w:ilvl w:val="0"/>
          <w:numId w:val="2"/>
        </w:numPr>
        <w:spacing w:lineRule="auto" w:line="600"/>
        <w:jc w:val="start"/>
        <w:rPr>
          <w:rFonts w:ascii="宋体" w:hAnsi="宋体" w:eastAsia="宋体" w:cs="宋体"/>
          <w:b/>
          <w:bCs/>
          <w:sz w:val="32"/>
          <w:szCs w:val="32"/>
          <w:lang w:val="en-US" w:eastAsia="zh-CN"/>
        </w:rPr>
      </w:pPr>
      <w:r>
        <w:rPr>
          <w:rFonts w:ascii="宋体" w:hAnsi="宋体" w:cs="宋体"/>
          <w:b/>
          <w:bCs/>
          <w:sz w:val="32"/>
          <w:szCs w:val="32"/>
          <w:lang w:val="en-US" w:eastAsia="zh-CN"/>
        </w:rPr>
        <w:t>本表需按规定时间提交电子稿。</w:t>
      </w:r>
    </w:p>
    <w:tbl>
      <w:tblPr>
        <w:tblW w:w="8992" w:type="dxa"/>
        <w:jc w:val="start"/>
        <w:tblInd w:w="0" w:type="dxa"/>
        <w:tblLayout w:type="fixed"/>
        <w:tblCellMar>
          <w:top w:w="0" w:type="dxa"/>
          <w:start w:w="108" w:type="dxa"/>
          <w:bottom w:w="0" w:type="dxa"/>
          <w:end w:w="108" w:type="dxa"/>
        </w:tblCellMar>
      </w:tblPr>
      <w:tblGrid>
        <w:gridCol w:w="1322"/>
        <w:gridCol w:w="11"/>
        <w:gridCol w:w="1158"/>
        <w:gridCol w:w="864"/>
        <w:gridCol w:w="3"/>
        <w:gridCol w:w="1217"/>
        <w:gridCol w:w="1066"/>
        <w:gridCol w:w="887"/>
        <w:gridCol w:w="1258"/>
        <w:gridCol w:w="736"/>
        <w:gridCol w:w="470"/>
      </w:tblGrid>
      <w:tr>
        <w:trPr/>
        <w:tc>
          <w:tcPr>
            <w:tcW w:w="1322"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32"/>
                <w:sz w:val="32"/>
                <w:szCs w:val="32"/>
                <w:vertAlign w:val="baseline"/>
                <w:lang w:val="en-US" w:eastAsia="zh-CN"/>
              </w:rPr>
            </w:pPr>
            <w:r>
              <w:rPr>
                <w:rFonts w:ascii="宋体" w:hAnsi="宋体" w:cs="宋体"/>
                <w:b/>
                <w:bCs/>
                <w:position w:val="0"/>
                <w:sz w:val="21"/>
                <w:sz w:val="21"/>
                <w:szCs w:val="21"/>
                <w:vertAlign w:val="baseline"/>
                <w:lang w:val="en-US" w:eastAsia="zh-CN"/>
              </w:rPr>
              <w:t>项目名称</w:t>
            </w:r>
          </w:p>
        </w:tc>
        <w:tc>
          <w:tcPr>
            <w:tcW w:w="7670" w:type="dxa"/>
            <w:gridSpan w:val="10"/>
            <w:tcBorders>
              <w:top w:val="single" w:sz="4" w:space="0" w:color="000000"/>
              <w:start w:val="single" w:sz="4" w:space="0" w:color="000000"/>
              <w:bottom w:val="single" w:sz="4" w:space="0" w:color="000000"/>
              <w:end w:val="single" w:sz="4" w:space="0" w:color="000000"/>
            </w:tcBorders>
            <w:vAlign w:val="center"/>
          </w:tcPr>
          <w:p>
            <w:pPr>
              <w:keepNext/>
              <w:spacing w:before="0" w:after="0" w:lineRule="exact" w:line="440"/>
              <w:ind w:firstLineChars="0" w:firstLine="0"/>
              <w:jc w:val="left"/>
            </w:pPr>
            <w:r>
              <w:rPr>
                <w:rFonts w:ascii="Times New Roman" w:hAnsi="Times New Roman" w:eastAsia="宋体" w:cs="Times New Roman"/>
                <w:b/>
                <w:sz w:val="21"/>
              </w:rPr>
              <w:t>筑衡：面向“好房子”建设的建筑方案智能比选智能体</w:t>
            </w:r>
          </w:p>
        </w:tc>
      </w:tr>
      <w:tr>
        <w:trPr>
          <w:trHeight w:val="699" w:hRule="atLeast"/>
        </w:trPr>
        <w:tc>
          <w:tcPr>
            <w:tcW w:w="1322" w:type="dxa"/>
            <w:vMerge w:val="restart"/>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end="0"/>
              <w:jc w:val="center"/>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end="0"/>
              <w:jc w:val="center"/>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end="0"/>
              <w:jc w:val="center"/>
              <w:rPr>
                <w:rFonts w:ascii="宋体" w:hAnsi="宋体" w:eastAsia="宋体" w:cs="宋体"/>
                <w:b/>
                <w:bCs/>
                <w:kern w:val="2"/>
                <w:position w:val="0"/>
                <w:sz w:val="32"/>
                <w:sz w:val="32"/>
                <w:szCs w:val="32"/>
                <w:vertAlign w:val="baseline"/>
                <w:lang w:val="en-US" w:eastAsia="zh-CN" w:bidi="ar-SA"/>
              </w:rPr>
            </w:pPr>
            <w:r>
              <w:rPr>
                <w:rFonts w:ascii="宋体" w:hAnsi="宋体" w:cs="宋体"/>
                <w:b/>
                <w:bCs/>
                <w:position w:val="0"/>
                <w:sz w:val="21"/>
                <w:sz w:val="21"/>
                <w:szCs w:val="21"/>
                <w:vertAlign w:val="baseline"/>
                <w:lang w:val="en-US" w:eastAsia="zh-CN"/>
              </w:rPr>
              <w:t>学生团队</w:t>
            </w:r>
          </w:p>
        </w:tc>
        <w:tc>
          <w:tcPr>
            <w:tcW w:w="1169"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类别</w:t>
            </w:r>
          </w:p>
        </w:tc>
        <w:tc>
          <w:tcPr>
            <w:tcW w:w="867"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姓名</w:t>
            </w:r>
          </w:p>
        </w:tc>
        <w:tc>
          <w:tcPr>
            <w:tcW w:w="121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学号</w:t>
            </w:r>
          </w:p>
        </w:tc>
        <w:tc>
          <w:tcPr>
            <w:tcW w:w="1066"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所属年级</w:t>
            </w:r>
          </w:p>
        </w:tc>
        <w:tc>
          <w:tcPr>
            <w:tcW w:w="88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专业</w:t>
            </w:r>
          </w:p>
        </w:tc>
        <w:tc>
          <w:tcPr>
            <w:tcW w:w="12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联系电话</w:t>
            </w:r>
          </w:p>
        </w:tc>
        <w:tc>
          <w:tcPr>
            <w:tcW w:w="1206"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本人签字</w:t>
            </w:r>
          </w:p>
        </w:tc>
      </w:tr>
      <w:tr>
        <w:trPr>
          <w:trHeight w:val="753" w:hRule="atLeast"/>
        </w:trPr>
        <w:tc>
          <w:tcPr>
            <w:tcW w:w="1322" w:type="dxa"/>
            <w:vMerge w:val="continue"/>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center"/>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169"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组长</w:t>
            </w:r>
          </w:p>
        </w:tc>
        <w:tc>
          <w:tcPr>
            <w:tcW w:w="867"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1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066"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88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06"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c>
          <w:tcPr>
            <w:tcW w:w="1322" w:type="dxa"/>
            <w:vMerge w:val="continue"/>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end="0"/>
              <w:jc w:val="center"/>
              <w:rPr>
                <w:rFonts w:ascii="宋体" w:hAnsi="宋体" w:eastAsia="宋体" w:cs="宋体"/>
                <w:b/>
                <w:bCs/>
                <w:kern w:val="2"/>
                <w:position w:val="0"/>
                <w:sz w:val="32"/>
                <w:sz w:val="32"/>
                <w:szCs w:val="32"/>
                <w:vertAlign w:val="baseline"/>
                <w:lang w:val="en-US" w:eastAsia="zh-CN" w:bidi="ar-SA"/>
              </w:rPr>
            </w:pPr>
            <w:r>
              <w:rPr>
                <w:rFonts w:eastAsia="宋体" w:cs="宋体" w:ascii="宋体" w:hAnsi="宋体"/>
                <w:b/>
                <w:bCs/>
                <w:kern w:val="2"/>
                <w:position w:val="0"/>
                <w:sz w:val="32"/>
                <w:sz w:val="32"/>
                <w:szCs w:val="32"/>
                <w:vertAlign w:val="baseline"/>
                <w:lang w:val="en-US" w:eastAsia="zh-CN" w:bidi="ar-SA"/>
              </w:rPr>
            </w:r>
          </w:p>
        </w:tc>
        <w:tc>
          <w:tcPr>
            <w:tcW w:w="1169" w:type="dxa"/>
            <w:gridSpan w:val="2"/>
            <w:vMerge w:val="restart"/>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center"/>
              <w:rPr>
                <w:rFonts w:ascii="宋体" w:hAnsi="宋体" w:eastAsia="宋体" w:cs="宋体"/>
                <w:b/>
                <w:bCs/>
                <w:kern w:val="2"/>
                <w:position w:val="0"/>
                <w:sz w:val="21"/>
                <w:sz w:val="21"/>
                <w:szCs w:val="21"/>
                <w:vertAlign w:val="baseline"/>
                <w:lang w:val="en-US" w:eastAsia="zh-CN" w:bidi="ar-SA"/>
              </w:rPr>
            </w:pPr>
            <w:r>
              <w:rPr>
                <w:rFonts w:eastAsia="宋体" w:cs="宋体" w:ascii="宋体" w:hAnsi="宋体"/>
                <w:b/>
                <w:bCs/>
                <w:kern w:val="2"/>
                <w:position w:val="0"/>
                <w:sz w:val="21"/>
                <w:sz w:val="21"/>
                <w:szCs w:val="21"/>
                <w:vertAlign w:val="baseline"/>
                <w:lang w:val="en-US" w:eastAsia="zh-CN" w:bidi="ar-SA"/>
              </w:rPr>
            </w:r>
          </w:p>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成员</w:t>
            </w:r>
          </w:p>
        </w:tc>
        <w:tc>
          <w:tcPr>
            <w:tcW w:w="867"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1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066"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88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06"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c>
          <w:tcPr>
            <w:tcW w:w="1322" w:type="dxa"/>
            <w:vMerge w:val="continue"/>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169" w:type="dxa"/>
            <w:gridSpan w:val="2"/>
            <w:vMerge w:val="continue"/>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867"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1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066"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88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06"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c>
          <w:tcPr>
            <w:tcW w:w="1322" w:type="dxa"/>
            <w:vMerge w:val="continue"/>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169" w:type="dxa"/>
            <w:gridSpan w:val="2"/>
            <w:vMerge w:val="continue"/>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867"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1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066"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887"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06"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rHeight w:val="649" w:hRule="atLeast"/>
        </w:trPr>
        <w:tc>
          <w:tcPr>
            <w:tcW w:w="1333" w:type="dxa"/>
            <w:gridSpan w:val="2"/>
            <w:vMerge w:val="restart"/>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center"/>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指导教师</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类别</w:t>
            </w:r>
          </w:p>
        </w:tc>
        <w:tc>
          <w:tcPr>
            <w:tcW w:w="864"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姓名</w:t>
            </w:r>
          </w:p>
        </w:tc>
        <w:tc>
          <w:tcPr>
            <w:tcW w:w="1220"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职称</w:t>
            </w:r>
          </w:p>
        </w:tc>
        <w:tc>
          <w:tcPr>
            <w:tcW w:w="3211" w:type="dxa"/>
            <w:gridSpan w:val="3"/>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联系电话</w:t>
            </w:r>
          </w:p>
        </w:tc>
        <w:tc>
          <w:tcPr>
            <w:tcW w:w="1206"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签名</w:t>
            </w:r>
          </w:p>
        </w:tc>
      </w:tr>
      <w:tr>
        <w:trPr/>
        <w:tc>
          <w:tcPr>
            <w:tcW w:w="1333" w:type="dxa"/>
            <w:gridSpan w:val="2"/>
            <w:vMerge w:val="continue"/>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指导教师</w:t>
            </w:r>
          </w:p>
        </w:tc>
        <w:tc>
          <w:tcPr>
            <w:tcW w:w="864"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20"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3211" w:type="dxa"/>
            <w:gridSpan w:val="3"/>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06"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c>
          <w:tcPr>
            <w:tcW w:w="1333" w:type="dxa"/>
            <w:gridSpan w:val="2"/>
            <w:vMerge w:val="continue"/>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企业导师</w:t>
            </w:r>
          </w:p>
        </w:tc>
        <w:tc>
          <w:tcPr>
            <w:tcW w:w="864" w:type="dxa"/>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20"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3211" w:type="dxa"/>
            <w:gridSpan w:val="3"/>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c>
          <w:tcPr>
            <w:tcW w:w="1206"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rHeight w:val="6138" w:hRule="atLeast"/>
        </w:trPr>
        <w:tc>
          <w:tcPr>
            <w:tcW w:w="1333"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480"/>
              <w:ind w:hanging="0" w:start="0"/>
              <w:jc w:val="center"/>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p>
            <w:pPr>
              <w:pStyle w:val="Normal"/>
              <w:numPr>
                <w:ilvl w:val="0"/>
                <w:numId w:val="0"/>
              </w:numPr>
              <w:spacing w:lineRule="auto" w:line="480"/>
              <w:ind w:hanging="0" w:start="0"/>
              <w:jc w:val="center"/>
              <w:rPr>
                <w:rFonts w:ascii="宋体" w:hAnsi="宋体" w:cs="宋体"/>
                <w:b/>
                <w:bCs/>
                <w:position w:val="0"/>
                <w:sz w:val="21"/>
                <w:sz w:val="21"/>
                <w:szCs w:val="21"/>
                <w:vertAlign w:val="baseline"/>
                <w:lang w:val="en-US" w:eastAsia="zh-CN"/>
              </w:rPr>
            </w:pPr>
            <w:r>
              <w:rPr>
                <w:rFonts w:cs="宋体" w:ascii="宋体" w:hAnsi="宋体"/>
                <w:b/>
                <w:bCs/>
                <w:position w:val="0"/>
                <w:sz w:val="21"/>
                <w:sz w:val="21"/>
                <w:szCs w:val="21"/>
                <w:vertAlign w:val="baseline"/>
                <w:lang w:val="en-US" w:eastAsia="zh-CN"/>
              </w:rPr>
            </w:r>
          </w:p>
          <w:p>
            <w:pPr>
              <w:pStyle w:val="Normal"/>
              <w:numPr>
                <w:ilvl w:val="0"/>
                <w:numId w:val="0"/>
              </w:numPr>
              <w:spacing w:lineRule="auto" w:line="480"/>
              <w:ind w:hanging="0" w:start="0"/>
              <w:jc w:val="center"/>
              <w:rPr>
                <w:rFonts w:ascii="宋体" w:hAnsi="宋体" w:cs="宋体"/>
                <w:b/>
                <w:bCs/>
                <w:position w:val="0"/>
                <w:sz w:val="21"/>
                <w:sz w:val="21"/>
                <w:szCs w:val="21"/>
                <w:vertAlign w:val="baseline"/>
                <w:lang w:val="en-US" w:eastAsia="zh-CN"/>
              </w:rPr>
            </w:pPr>
            <w:r>
              <w:rPr>
                <w:rFonts w:cs="宋体" w:ascii="宋体" w:hAnsi="宋体"/>
                <w:b/>
                <w:bCs/>
                <w:position w:val="0"/>
                <w:sz w:val="21"/>
                <w:sz w:val="21"/>
                <w:szCs w:val="21"/>
                <w:vertAlign w:val="baseline"/>
                <w:lang w:val="en-US" w:eastAsia="zh-CN"/>
              </w:rPr>
            </w:r>
          </w:p>
          <w:p>
            <w:pPr>
              <w:pStyle w:val="Normal"/>
              <w:numPr>
                <w:ilvl w:val="0"/>
                <w:numId w:val="0"/>
              </w:numPr>
              <w:spacing w:lineRule="auto" w:line="480"/>
              <w:ind w:hanging="0" w:start="0"/>
              <w:jc w:val="center"/>
              <w:rPr>
                <w:rFonts w:ascii="宋体" w:hAnsi="宋体" w:cs="宋体"/>
                <w:b/>
                <w:bCs/>
                <w:position w:val="0"/>
                <w:sz w:val="21"/>
                <w:sz w:val="21"/>
                <w:szCs w:val="21"/>
                <w:vertAlign w:val="baseline"/>
                <w:lang w:val="en-US" w:eastAsia="zh-CN"/>
              </w:rPr>
            </w:pPr>
            <w:r>
              <w:rPr>
                <w:rFonts w:cs="宋体" w:ascii="宋体" w:hAnsi="宋体"/>
                <w:b/>
                <w:bCs/>
                <w:position w:val="0"/>
                <w:sz w:val="21"/>
                <w:sz w:val="21"/>
                <w:szCs w:val="21"/>
                <w:vertAlign w:val="baseline"/>
                <w:lang w:val="en-US" w:eastAsia="zh-CN"/>
              </w:rPr>
            </w:r>
          </w:p>
          <w:p>
            <w:pPr>
              <w:pStyle w:val="Normal"/>
              <w:numPr>
                <w:ilvl w:val="0"/>
                <w:numId w:val="0"/>
              </w:numPr>
              <w:spacing w:lineRule="auto" w:line="480"/>
              <w:ind w:hanging="0" w:start="0"/>
              <w:jc w:val="center"/>
              <w:rPr>
                <w:rFonts w:ascii="宋体" w:hAnsi="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指导教师</w:t>
            </w:r>
          </w:p>
          <w:p>
            <w:pPr>
              <w:pStyle w:val="Normal"/>
              <w:numPr>
                <w:ilvl w:val="0"/>
                <w:numId w:val="0"/>
              </w:numPr>
              <w:spacing w:lineRule="auto" w:line="48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意见</w:t>
            </w:r>
          </w:p>
        </w:tc>
        <w:tc>
          <w:tcPr>
            <w:tcW w:w="7659" w:type="dxa"/>
            <w:gridSpan w:val="9"/>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start"/>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p>
            <w:pPr>
              <w:pStyle w:val="Normal"/>
              <w:bidi w:val="0"/>
              <w:rPr>
                <w:rFonts w:ascii="Calibri" w:hAnsi="Calibri" w:eastAsia="宋体" w:cs="Times New Roman"/>
                <w:b/>
                <w:bCs/>
                <w:kern w:val="2"/>
                <w:position w:val="0"/>
                <w:sz w:val="21"/>
                <w:sz w:val="21"/>
                <w:szCs w:val="24"/>
                <w:vertAlign w:val="baseline"/>
                <w:lang w:val="en-US" w:eastAsia="zh-CN" w:bidi="ar-SA"/>
              </w:rPr>
            </w:pPr>
            <w:r>
              <w:rPr>
                <w:rFonts w:eastAsia="宋体" w:cs="Times New Roman"/>
                <w:b/>
                <w:bCs/>
                <w:kern w:val="2"/>
                <w:position w:val="0"/>
                <w:sz w:val="21"/>
                <w:sz w:val="21"/>
                <w:szCs w:val="24"/>
                <w:vertAlign w:val="baseline"/>
                <w:lang w:val="en-US" w:eastAsia="zh-CN" w:bidi="ar-SA"/>
              </w:rPr>
            </w:r>
          </w:p>
          <w:p>
            <w:pPr>
              <w:pStyle w:val="Normal"/>
              <w:bidi w:val="0"/>
              <w:rPr>
                <w:rFonts w:ascii="Calibri" w:hAnsi="Calibri" w:eastAsia="宋体" w:cs="Times New Roman"/>
                <w:kern w:val="2"/>
                <w:sz w:val="21"/>
                <w:szCs w:val="24"/>
                <w:lang w:val="en-US" w:eastAsia="zh-CN" w:bidi="ar-SA"/>
              </w:rPr>
            </w:pPr>
            <w:r>
              <w:rPr>
                <w:rFonts w:eastAsia="宋体" w:cs="Times New Roman"/>
                <w:kern w:val="2"/>
                <w:sz w:val="21"/>
                <w:szCs w:val="24"/>
                <w:lang w:val="en-US" w:eastAsia="zh-CN" w:bidi="ar-SA"/>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tabs>
                <w:tab w:val="clear" w:pos="420"/>
                <w:tab w:val="left" w:pos="6771" w:leader="none"/>
              </w:tabs>
              <w:bidi w:val="0"/>
              <w:spacing w:lineRule="auto" w:line="480"/>
              <w:jc w:val="end"/>
              <w:rPr>
                <w:sz w:val="24"/>
                <w:szCs w:val="32"/>
                <w:lang w:val="en-US" w:eastAsia="zh-CN"/>
              </w:rPr>
            </w:pPr>
            <w:r>
              <w:rPr>
                <w:sz w:val="24"/>
                <w:szCs w:val="32"/>
                <w:lang w:val="en-US" w:eastAsia="zh-CN"/>
              </w:rPr>
              <w:t>签名：</w:t>
            </w:r>
            <w:r>
              <w:rPr>
                <w:rFonts w:cs="Calibri" w:eastAsia="Calibri"/>
                <w:sz w:val="24"/>
                <w:szCs w:val="32"/>
                <w:lang w:val="en-US" w:eastAsia="zh-CN"/>
              </w:rPr>
              <w:t xml:space="preserve">           </w:t>
            </w:r>
          </w:p>
          <w:p>
            <w:pPr>
              <w:pStyle w:val="Normal"/>
              <w:tabs>
                <w:tab w:val="clear" w:pos="420"/>
                <w:tab w:val="left" w:pos="6771" w:leader="none"/>
              </w:tabs>
              <w:bidi w:val="0"/>
              <w:spacing w:lineRule="auto" w:line="480"/>
              <w:jc w:val="end"/>
              <w:rPr>
                <w:lang w:val="en-US" w:eastAsia="zh-CN"/>
              </w:rPr>
            </w:pPr>
            <w:r>
              <w:rPr>
                <w:rFonts w:eastAsia="Calibri" w:cs="Calibri"/>
                <w:sz w:val="24"/>
                <w:szCs w:val="32"/>
                <w:lang w:val="en-US" w:eastAsia="zh-CN"/>
              </w:rPr>
              <w:t xml:space="preserve">   </w:t>
            </w:r>
            <w:r>
              <w:rPr>
                <w:sz w:val="24"/>
                <w:szCs w:val="32"/>
                <w:lang w:val="en-US" w:eastAsia="zh-CN"/>
              </w:rPr>
              <w:t>年</w:t>
            </w:r>
            <w:r>
              <w:rPr>
                <w:rFonts w:cs="Calibri" w:eastAsia="Calibri"/>
                <w:sz w:val="24"/>
                <w:szCs w:val="32"/>
                <w:lang w:val="en-US" w:eastAsia="zh-CN"/>
              </w:rPr>
              <w:t xml:space="preserve">      </w:t>
            </w:r>
            <w:r>
              <w:rPr>
                <w:sz w:val="24"/>
                <w:szCs w:val="32"/>
                <w:lang w:val="en-US" w:eastAsia="zh-CN"/>
              </w:rPr>
              <w:t>月</w:t>
            </w:r>
            <w:r>
              <w:rPr>
                <w:rFonts w:cs="Calibri" w:eastAsia="Calibri"/>
                <w:sz w:val="24"/>
                <w:szCs w:val="32"/>
                <w:lang w:val="en-US" w:eastAsia="zh-CN"/>
              </w:rPr>
              <w:t xml:space="preserve">     </w:t>
            </w:r>
            <w:r>
              <w:rPr>
                <w:sz w:val="24"/>
                <w:szCs w:val="32"/>
                <w:lang w:val="en-US" w:eastAsia="zh-CN"/>
              </w:rPr>
              <w:t>日</w:t>
            </w:r>
          </w:p>
        </w:tc>
      </w:tr>
      <w:tr>
        <w:trPr>
          <w:trHeight w:val="4299" w:hRule="atLeast"/>
        </w:trPr>
        <w:tc>
          <w:tcPr>
            <w:tcW w:w="1333"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center"/>
              <w:rPr>
                <w:rFonts w:ascii="宋体" w:hAnsi="宋体" w:cs="宋体"/>
                <w:b/>
                <w:bCs/>
                <w:position w:val="0"/>
                <w:sz w:val="21"/>
                <w:sz w:val="21"/>
                <w:szCs w:val="21"/>
                <w:vertAlign w:val="baseline"/>
                <w:lang w:val="en-US" w:eastAsia="zh-CN"/>
              </w:rPr>
            </w:pPr>
            <w:r>
              <w:rPr>
                <w:rFonts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jc w:val="center"/>
              <w:rPr>
                <w:rFonts w:ascii="宋体" w:hAnsi="宋体" w:cs="宋体"/>
                <w:b/>
                <w:bCs/>
                <w:position w:val="0"/>
                <w:sz w:val="21"/>
                <w:sz w:val="21"/>
                <w:szCs w:val="21"/>
                <w:vertAlign w:val="baseline"/>
                <w:lang w:val="en-US" w:eastAsia="zh-CN"/>
              </w:rPr>
            </w:pPr>
            <w:r>
              <w:rPr>
                <w:rFonts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项目背景</w:t>
            </w:r>
          </w:p>
        </w:tc>
        <w:tc>
          <w:tcPr>
            <w:tcW w:w="7189" w:type="dxa"/>
            <w:gridSpan w:val="8"/>
            <w:tcBorders>
              <w:top w:val="single" w:sz="4" w:space="0" w:color="000000"/>
              <w:start w:val="single" w:sz="4" w:space="0" w:color="000000"/>
              <w:bottom w:val="single" w:sz="4" w:space="0" w:color="000000"/>
              <w:end w:val="single" w:sz="4" w:space="0" w:color="000000"/>
            </w:tcBorders>
          </w:tcPr>
          <w:p>
            <w:pPr>
              <w:keepNext/>
              <w:spacing w:before="0" w:after="0" w:lineRule="exact" w:line="440"/>
              <w:ind w:firstLineChars="0" w:firstLine="0"/>
              <w:jc w:val="left"/>
            </w:pPr>
            <w:r>
              <w:rPr>
                <w:rFonts w:ascii="Times New Roman" w:hAnsi="Times New Roman" w:eastAsia="宋体" w:cs="Times New Roman"/>
                <w:b/>
                <w:sz w:val="21"/>
              </w:rPr>
              <w:t>一、行业背景：住房建设进入“好房子”品质提升新阶段</w:t>
            </w:r>
          </w:p>
          <w:p>
            <w:pPr>
              <w:spacing w:before="0" w:after="0" w:lineRule="exact" w:line="440"/>
              <w:ind w:firstLineChars="200" w:firstLine="420"/>
              <w:jc w:val="both"/>
            </w:pPr>
            <w:r>
              <w:rPr>
                <w:rFonts w:ascii="Times New Roman" w:hAnsi="Times New Roman" w:eastAsia="宋体" w:cs="Times New Roman"/>
                <w:b w:val="0"/>
                <w:sz w:val="21"/>
              </w:rPr>
              <w:t>2025年3月，住房和城乡建设部发布强制性国家标准《住宅项目规范》（GB 55038-2025），自2025年5月1日起实施。规范以安全、舒适、绿色、智慧为目标，将新建住宅层高提高到不低于3.0 m，要求4层及以上住宅设置电梯，并提升了隔声、无障碍与适老化等要求，为“好房子”建设划定了底线。与此同时，新型建筑工业化加速推进：以模块化集成建筑（MiC）为代表的装配式建造将大量工序移入工厂完成，中国建筑国际集团旗下中建海龙已将MiC技术应用于深圳保障性住房、北京老旧小区“原拆原建”等项目，在缩短工期的同时减少了现场高处作业和湿作业。建好房子，并让工友更安全地建房子，正在成为行业的共同目标。</w:t>
            </w:r>
          </w:p>
          <w:p>
            <w:pPr>
              <w:keepNext/>
              <w:spacing w:before="0" w:after="0" w:lineRule="exact" w:line="440"/>
              <w:ind w:firstLineChars="0" w:firstLine="0"/>
              <w:jc w:val="left"/>
            </w:pPr>
            <w:r>
              <w:rPr>
                <w:rFonts w:ascii="Times New Roman" w:hAnsi="Times New Roman" w:eastAsia="宋体" w:cs="Times New Roman"/>
                <w:b/>
                <w:sz w:val="21"/>
              </w:rPr>
              <w:t>二、行业痛点：方案设计阶段的决策“维度多、冲突多、视角缺”</w:t>
            </w:r>
          </w:p>
          <w:p>
            <w:pPr>
              <w:spacing w:before="0" w:after="0" w:lineRule="exact" w:line="440"/>
              <w:ind w:firstLineChars="200" w:firstLine="420"/>
              <w:jc w:val="both"/>
            </w:pPr>
            <w:r>
              <w:rPr>
                <w:rFonts w:ascii="Times New Roman" w:hAnsi="Times New Roman" w:eastAsia="宋体" w:cs="Times New Roman"/>
                <w:b w:val="0"/>
                <w:sz w:val="21"/>
              </w:rPr>
              <w:t>业内普遍认为，设计阶段对工程造价、建筑品质、工期和施工风险的影响远大于施工阶段，但这一阶段的方案比选仍面临以下问题：</w:t>
            </w:r>
          </w:p>
          <w:p>
            <w:pPr>
              <w:spacing w:before="0" w:after="0" w:lineRule="exact" w:line="440"/>
              <w:ind w:firstLineChars="200" w:firstLine="420"/>
              <w:jc w:val="both"/>
            </w:pPr>
            <w:r>
              <w:rPr>
                <w:rFonts w:ascii="Times New Roman" w:hAnsi="Times New Roman" w:eastAsia="宋体" w:cs="Times New Roman"/>
                <w:b w:val="0"/>
                <w:sz w:val="21"/>
              </w:rPr>
              <w:t>（1）评价维度多，专业分散。居住品质、结构合理性、造价、施工组织、绿色低碳分属建筑、结构、造价、施工等不同专业，比选时信息分散在各类图纸和指标表中，通常依靠多轮会议和人工汇总，耗时长、口径不一。</w:t>
            </w:r>
          </w:p>
          <w:p>
            <w:pPr>
              <w:spacing w:before="0" w:after="0" w:lineRule="exact" w:line="440"/>
              <w:ind w:firstLineChars="200" w:firstLine="420"/>
              <w:jc w:val="both"/>
            </w:pPr>
            <w:r>
              <w:rPr>
                <w:rFonts w:ascii="Times New Roman" w:hAnsi="Times New Roman" w:eastAsia="宋体" w:cs="Times New Roman"/>
                <w:b w:val="0"/>
                <w:sz w:val="21"/>
              </w:rPr>
              <w:t>（2）目标相互制约，权衡依赖经验。例如，增加层高和南向采光面能提升居住品质，但会增加造价和能耗；复杂的平立面造型能提升辨识度，却会降低构件标准化程度和装配率，并增加高处作业与危大工程。有业内专家指出，“好房子”的各项目标在落地时可能因技术适配、成本控制和群体需求差异而相互矛盾。如何透明地权衡这些冲突，目前缺少简便的工具支撑。</w:t>
            </w:r>
          </w:p>
          <w:p>
            <w:pPr>
              <w:spacing w:before="0" w:after="0" w:lineRule="exact" w:line="440"/>
              <w:ind w:firstLineChars="200" w:firstLine="420"/>
              <w:jc w:val="both"/>
            </w:pPr>
            <w:r>
              <w:rPr>
                <w:rFonts w:ascii="Times New Roman" w:hAnsi="Times New Roman" w:eastAsia="宋体" w:cs="Times New Roman"/>
                <w:b w:val="0"/>
                <w:sz w:val="21"/>
              </w:rPr>
              <w:t>（3）施工与工友视角缺位。传统方案比选主要站在投资方和使用者的角度，“方案好不好建、建造过程安不安全”往往到施工图甚至施工阶段才暴露，此时修改代价高昂；一线工友承担的高处作业和危大工程风险，在设计阶段很少被量化考虑。</w:t>
            </w:r>
          </w:p>
          <w:p>
            <w:pPr>
              <w:spacing w:before="0" w:after="0" w:lineRule="exact" w:line="440"/>
              <w:ind w:firstLineChars="200" w:firstLine="420"/>
              <w:jc w:val="both"/>
            </w:pPr>
            <w:r>
              <w:rPr>
                <w:rFonts w:ascii="Times New Roman" w:hAnsi="Times New Roman" w:eastAsia="宋体" w:cs="Times New Roman"/>
                <w:b w:val="0"/>
                <w:sz w:val="21"/>
              </w:rPr>
              <w:t>（4）现有工具难以直接支撑综合决策。BIM和各类性能模拟软件单项分析深入，但使用门槛高，难以在方案阶段快速综合比较；通用大模型可以对话，但在数值计算和规范判断上存在“幻觉”风险，不能直接用于工程决策。</w:t>
            </w:r>
          </w:p>
          <w:p>
            <w:pPr>
              <w:keepNext/>
              <w:spacing w:before="0" w:after="0" w:lineRule="exact" w:line="440"/>
              <w:ind w:firstLineChars="0" w:firstLine="0"/>
              <w:jc w:val="left"/>
            </w:pPr>
            <w:r>
              <w:rPr>
                <w:rFonts w:ascii="Times New Roman" w:hAnsi="Times New Roman" w:eastAsia="宋体" w:cs="Times New Roman"/>
                <w:b/>
                <w:sz w:val="21"/>
              </w:rPr>
              <w:t>三、项目定位</w:t>
            </w:r>
          </w:p>
          <w:p>
            <w:pPr>
              <w:spacing w:before="0" w:after="0" w:lineRule="exact" w:line="440"/>
              <w:ind w:firstLineChars="200" w:firstLine="420"/>
              <w:jc w:val="both"/>
            </w:pPr>
            <w:r>
              <w:rPr>
                <w:rFonts w:ascii="Times New Roman" w:hAnsi="Times New Roman" w:eastAsia="宋体" w:cs="Times New Roman"/>
                <w:b w:val="0"/>
                <w:sz w:val="21"/>
              </w:rPr>
              <w:t>本项目围绕大赛“为人民建好房，为工友谋幸福”主题，选择“智能设计与方案优化”方向，开发建筑方案智能比选智能体“筑衡”。“筑衡”面向方案设计阶段，对多个候选方案依次进行规范合规初筛、多维量化评估和多准则比选，生成每项结论都可追溯的比选报告，并支持用自然语言追问、推演方案调整的影响。其中，“建好房”对应居住品质维度，“谋幸福”对应施工友好与工友安全维度，二者在同一决策框架中被显式、量化地权衡。</w:t>
            </w:r>
          </w:p>
          <w:p>
            <w:pPr>
              <w:spacing w:before="0" w:after="0" w:lineRule="exact" w:line="440"/>
              <w:ind w:firstLineChars="200" w:firstLine="420"/>
              <w:jc w:val="both"/>
            </w:pPr>
            <w:r>
              <w:rPr>
                <w:rFonts w:ascii="Times New Roman" w:hAnsi="Times New Roman" w:eastAsia="宋体" w:cs="Times New Roman"/>
                <w:b w:val="0"/>
                <w:sz w:val="21"/>
              </w:rPr>
              <w:t>项目团队由计算机、土木工程、建筑学、工业设计四个专业的同学组成，分别负责智能体与软件开发、结构与施工规则、建筑品质与规范规则、交互与视觉设计，力求把各专业知识真正写进智能体，而不是只做一个通用的对话界面。</w:t>
            </w:r>
          </w:p>
        </w:tc>
        <w:tc>
          <w:tcPr>
            <w:tcW w:w="470" w:type="dxa"/>
            <w:tcBorders/>
            <w:tcMar>
              <w:start w:w="0" w:type="dxa"/>
              <w:end w:w="0" w:type="dxa"/>
            </w:tcMar>
          </w:tcPr>
          <w:p>
            <w:pPr>
              <w:pStyle w:val="Normal"/>
              <w:snapToGrid w:val="false"/>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rHeight w:val="2672" w:hRule="atLeast"/>
        </w:trPr>
        <w:tc>
          <w:tcPr>
            <w:tcW w:w="1333"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center"/>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技术方案</w:t>
            </w:r>
          </w:p>
        </w:tc>
        <w:tc>
          <w:tcPr>
            <w:tcW w:w="7189" w:type="dxa"/>
            <w:gridSpan w:val="8"/>
            <w:tcBorders>
              <w:top w:val="single" w:sz="4" w:space="0" w:color="000000"/>
              <w:start w:val="single" w:sz="4" w:space="0" w:color="000000"/>
              <w:bottom w:val="single" w:sz="4" w:space="0" w:color="000000"/>
              <w:end w:val="single" w:sz="4" w:space="0" w:color="000000"/>
            </w:tcBorders>
          </w:tcPr>
          <w:p>
            <w:pPr>
              <w:keepNext/>
              <w:spacing w:before="0" w:after="0" w:lineRule="exact" w:line="440"/>
              <w:ind w:firstLineChars="0" w:firstLine="0"/>
              <w:jc w:val="left"/>
            </w:pPr>
            <w:r>
              <w:rPr>
                <w:rFonts w:ascii="Times New Roman" w:hAnsi="Times New Roman" w:eastAsia="宋体" w:cs="Times New Roman"/>
                <w:b/>
                <w:sz w:val="21"/>
              </w:rPr>
              <w:t>一、总体架构</w:t>
            </w:r>
          </w:p>
          <w:p>
            <w:pPr>
              <w:spacing w:before="0" w:after="0" w:lineRule="exact" w:line="440"/>
              <w:ind w:firstLineChars="200" w:firstLine="420"/>
              <w:jc w:val="both"/>
            </w:pPr>
            <w:r>
              <w:rPr>
                <w:rFonts w:ascii="Times New Roman" w:hAnsi="Times New Roman" w:eastAsia="宋体" w:cs="Times New Roman"/>
                <w:b w:val="0"/>
                <w:sz w:val="21"/>
              </w:rPr>
              <w:t>“筑衡”采用“交互层—智能体编排层—工具层—知识与数据层”的分层架构（见图1）。核心设计原则是：大模型负责理解需求、规划任务和解释结果；数值由确定性工具计算，合规由规则引擎判定；每一项评分和结论都能追溯到输入参数、计算公式和规范条文。这样既发挥大模型在理解和交互上的优势，又避免其在工程计算和规范判断上的“幻觉”风险。</w:t>
            </w:r>
          </w:p>
          <w:p>
            <w:pPr>
              <w:spacing w:before="80" w:after="0" w:line="240" w:lineRule="auto"/>
              <w:ind w:firstLineChars="0" w:firstLine="0"/>
              <w:jc w:val="center"/>
            </w:pPr>
            <w:r>
              <w:drawing>
                <wp:inline xmlns:a="http://schemas.openxmlformats.org/drawingml/2006/main" xmlns:pic="http://schemas.openxmlformats.org/drawingml/2006/picture">
                  <wp:extent cx="4320000" cy="3317143"/>
                  <wp:docPr id="1" name="Picture 1"/>
                  <wp:cNvGraphicFramePr>
                    <a:graphicFrameLocks noChangeAspect="1"/>
                  </wp:cNvGraphicFramePr>
                  <a:graphic>
                    <a:graphicData uri="http://schemas.openxmlformats.org/drawingml/2006/picture">
                      <pic:pic>
                        <pic:nvPicPr>
                          <pic:cNvPr id="0" name="arch.png"/>
                          <pic:cNvPicPr/>
                        </pic:nvPicPr>
                        <pic:blipFill>
                          <a:blip r:embed="rId6"/>
                          <a:stretch>
                            <a:fillRect/>
                          </a:stretch>
                        </pic:blipFill>
                        <pic:spPr>
                          <a:xfrm>
                            <a:off x="0" y="0"/>
                            <a:ext cx="4320000" cy="3317143"/>
                          </a:xfrm>
                          <a:prstGeom prst="rect"/>
                        </pic:spPr>
                      </pic:pic>
                    </a:graphicData>
                  </a:graphic>
                </wp:inline>
              </w:drawing>
            </w:r>
          </w:p>
          <w:p>
            <w:pPr>
              <w:spacing w:before="0" w:after="0" w:lineRule="exact" w:line="440"/>
              <w:ind w:firstLineChars="0" w:firstLine="0"/>
              <w:jc w:val="center"/>
            </w:pPr>
            <w:r>
              <w:rPr>
                <w:rFonts w:ascii="Times New Roman" w:hAnsi="Times New Roman" w:eastAsia="宋体" w:cs="Times New Roman"/>
                <w:b/>
                <w:sz w:val="21"/>
              </w:rPr>
              <w:t>图1  “筑衡”系统技术架构</w:t>
            </w:r>
          </w:p>
          <w:p>
            <w:pPr>
              <w:keepNext/>
              <w:spacing w:before="0" w:after="0" w:lineRule="exact" w:line="440"/>
              <w:ind w:firstLineChars="0" w:firstLine="0"/>
              <w:jc w:val="left"/>
            </w:pPr>
            <w:r>
              <w:rPr>
                <w:rFonts w:ascii="Times New Roman" w:hAnsi="Times New Roman" w:eastAsia="宋体" w:cs="Times New Roman"/>
                <w:b/>
                <w:sz w:val="21"/>
              </w:rPr>
              <w:t>二、评价指标体系</w:t>
            </w:r>
          </w:p>
          <w:p>
            <w:pPr>
              <w:spacing w:before="0" w:after="0" w:lineRule="exact" w:line="440"/>
              <w:ind w:firstLineChars="200" w:firstLine="420"/>
              <w:jc w:val="both"/>
            </w:pPr>
            <w:r>
              <w:rPr>
                <w:rFonts w:ascii="Times New Roman" w:hAnsi="Times New Roman" w:eastAsia="宋体" w:cs="Times New Roman"/>
                <w:b w:val="0"/>
                <w:sz w:val="21"/>
              </w:rPr>
              <w:t>指标体系由建筑学和土木工程专业成员依据现行规范和专业经验共同制定，分为“规范合规”硬约束和四个评分维度（见表1）。硬约束不参与加权，未通过项直接标红预警并给出条文依据；各评分维度下的指标经计算后，按评分函数统一换算为0—100分。</w:t>
            </w:r>
          </w:p>
          <w:p>
            <w:pPr>
              <w:keepNext/>
              <w:spacing w:before="0" w:after="0" w:lineRule="exact" w:line="440"/>
              <w:ind w:firstLineChars="0" w:firstLine="0"/>
              <w:jc w:val="center"/>
            </w:pPr>
            <w:r>
              <w:rPr>
                <w:rFonts w:ascii="Times New Roman" w:hAnsi="Times New Roman" w:eastAsia="宋体" w:cs="Times New Roman"/>
                <w:b/>
                <w:sz w:val="21"/>
              </w:rPr>
              <w:t>表1  评价指标体系（初赛阶段版本）</w:t>
            </w:r>
          </w:p>
          <w:tbl>
            <w:tblPr>
              <w:tblW w:type="dxa" w:w="695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350"/>
              <w:gridCol w:w="2650"/>
              <w:gridCol w:w="2950"/>
            </w:tblGrid>
            <w:tr>
              <w:trPr>
                <w:tblHeader/>
              </w:trPr>
              <w:tc>
                <w:tcPr>
                  <w:tcW w:type="dxa" w:w="1350"/>
                  <w:shd w:val="clear" w:color="auto" w:fill="E8EEF8"/>
                  <w:vAlign w:val="center"/>
                </w:tcPr>
                <w:p>
                  <w:pPr>
                    <w:spacing w:before="0" w:after="0" w:lineRule="exact" w:line="440"/>
                    <w:ind w:firstLineChars="0" w:firstLine="0"/>
                    <w:jc w:val="center"/>
                  </w:pPr>
                  <w:r>
                    <w:rPr>
                      <w:rFonts w:ascii="Times New Roman" w:hAnsi="Times New Roman" w:eastAsia="宋体" w:cs="Times New Roman"/>
                      <w:b/>
                      <w:sz w:val="21"/>
                    </w:rPr>
                    <w:t>维度</w:t>
                  </w:r>
                </w:p>
              </w:tc>
              <w:tc>
                <w:tcPr>
                  <w:tcW w:type="dxa" w:w="2650"/>
                  <w:shd w:val="clear" w:color="auto" w:fill="E8EEF8"/>
                  <w:vAlign w:val="center"/>
                </w:tcPr>
                <w:p>
                  <w:pPr>
                    <w:spacing w:before="0" w:after="0" w:lineRule="exact" w:line="440"/>
                    <w:ind w:firstLineChars="0" w:firstLine="0"/>
                    <w:jc w:val="center"/>
                  </w:pPr>
                  <w:r>
                    <w:rPr>
                      <w:rFonts w:ascii="Times New Roman" w:hAnsi="Times New Roman" w:eastAsia="宋体" w:cs="Times New Roman"/>
                      <w:b/>
                      <w:sz w:val="21"/>
                    </w:rPr>
                    <w:t>代表性指标</w:t>
                  </w:r>
                </w:p>
              </w:tc>
              <w:tc>
                <w:tcPr>
                  <w:tcW w:type="dxa" w:w="2950"/>
                  <w:shd w:val="clear" w:color="auto" w:fill="E8EEF8"/>
                  <w:vAlign w:val="center"/>
                </w:tcPr>
                <w:p>
                  <w:pPr>
                    <w:spacing w:before="0" w:after="0" w:lineRule="exact" w:line="440"/>
                    <w:ind w:firstLineChars="0" w:firstLine="0"/>
                    <w:jc w:val="center"/>
                  </w:pPr>
                  <w:r>
                    <w:rPr>
                      <w:rFonts w:ascii="Times New Roman" w:hAnsi="Times New Roman" w:eastAsia="宋体" w:cs="Times New Roman"/>
                      <w:b/>
                      <w:sz w:val="21"/>
                    </w:rPr>
                    <w:t>计算与判定依据</w:t>
                  </w:r>
                </w:p>
              </w:tc>
            </w:tr>
            <w:tr>
              <w:tc>
                <w:tcPr>
                  <w:tcW w:type="dxa" w:w="1350"/>
                  <w:vAlign w:val="center"/>
                </w:tcPr>
                <w:p>
                  <w:pPr>
                    <w:spacing w:before="0" w:after="0" w:lineRule="exact" w:line="440"/>
                    <w:ind w:firstLineChars="0" w:firstLine="0"/>
                    <w:jc w:val="center"/>
                  </w:pPr>
                  <w:r>
                    <w:rPr>
                      <w:rFonts w:ascii="Times New Roman" w:hAnsi="Times New Roman" w:eastAsia="宋体" w:cs="Times New Roman"/>
                      <w:b/>
                      <w:sz w:val="21"/>
                    </w:rPr>
                    <w:t>规范合规</w:t>
                    <w:br/>
                  </w:r>
                  <w:r>
                    <w:rPr>
                      <w:rFonts w:ascii="Times New Roman" w:hAnsi="Times New Roman" w:eastAsia="宋体" w:cs="Times New Roman"/>
                      <w:b/>
                      <w:sz w:val="21"/>
                    </w:rPr>
                    <w:t>（硬约束）</w:t>
                  </w:r>
                </w:p>
              </w:tc>
              <w:tc>
                <w:tcPr>
                  <w:tcW w:type="dxa" w:w="2650"/>
                  <w:vAlign w:val="center"/>
                </w:tcPr>
                <w:p>
                  <w:pPr>
                    <w:spacing w:before="0" w:after="0" w:lineRule="exact" w:line="440"/>
                    <w:ind w:firstLineChars="0" w:firstLine="0"/>
                    <w:jc w:val="left"/>
                  </w:pPr>
                  <w:r>
                    <w:rPr>
                      <w:rFonts w:ascii="Times New Roman" w:hAnsi="Times New Roman" w:eastAsia="宋体" w:cs="Times New Roman"/>
                      <w:b w:val="0"/>
                      <w:sz w:val="21"/>
                    </w:rPr>
                    <w:t>容积率、建筑密度、建筑限高；层高不低于3.0 m；4层及以上设置电梯；日照要求等</w:t>
                  </w:r>
                </w:p>
              </w:tc>
              <w:tc>
                <w:tcPr>
                  <w:tcW w:type="dxa" w:w="2950"/>
                  <w:vAlign w:val="center"/>
                </w:tcPr>
                <w:p>
                  <w:pPr>
                    <w:spacing w:before="0" w:after="0" w:lineRule="exact" w:line="440"/>
                    <w:ind w:firstLineChars="0" w:firstLine="0"/>
                    <w:jc w:val="left"/>
                  </w:pPr>
                  <w:r>
                    <w:rPr>
                      <w:rFonts w:ascii="Times New Roman" w:hAnsi="Times New Roman" w:eastAsia="宋体" w:cs="Times New Roman"/>
                      <w:b w:val="0"/>
                      <w:sz w:val="21"/>
                    </w:rPr>
                    <w:t>地块规划条件；GB 55038-2025《住宅项目规范》；GB 50180-2018《城市居住区规划设计标准》</w:t>
                  </w:r>
                </w:p>
              </w:tc>
            </w:tr>
            <w:tr>
              <w:tc>
                <w:tcPr>
                  <w:tcW w:type="dxa" w:w="1350"/>
                  <w:vAlign w:val="center"/>
                </w:tcPr>
                <w:p>
                  <w:pPr>
                    <w:spacing w:before="0" w:after="0" w:lineRule="exact" w:line="440"/>
                    <w:ind w:firstLineChars="0" w:firstLine="0"/>
                    <w:jc w:val="center"/>
                  </w:pPr>
                  <w:r>
                    <w:rPr>
                      <w:rFonts w:ascii="Times New Roman" w:hAnsi="Times New Roman" w:eastAsia="宋体" w:cs="Times New Roman"/>
                      <w:b/>
                      <w:sz w:val="21"/>
                    </w:rPr>
                    <w:t>居住品质</w:t>
                    <w:br/>
                  </w:r>
                  <w:r>
                    <w:rPr>
                      <w:rFonts w:ascii="Times New Roman" w:hAnsi="Times New Roman" w:eastAsia="宋体" w:cs="Times New Roman"/>
                      <w:b/>
                      <w:sz w:val="21"/>
                    </w:rPr>
                    <w:t>（建好房）</w:t>
                  </w:r>
                </w:p>
              </w:tc>
              <w:tc>
                <w:tcPr>
                  <w:tcW w:type="dxa" w:w="2650"/>
                  <w:vAlign w:val="center"/>
                </w:tcPr>
                <w:p>
                  <w:pPr>
                    <w:spacing w:before="0" w:after="0" w:lineRule="exact" w:line="440"/>
                    <w:ind w:firstLineChars="0" w:firstLine="0"/>
                    <w:jc w:val="left"/>
                  </w:pPr>
                  <w:r>
                    <w:rPr>
                      <w:rFonts w:ascii="Times New Roman" w:hAnsi="Times New Roman" w:eastAsia="宋体" w:cs="Times New Roman"/>
                      <w:b w:val="0"/>
                      <w:sz w:val="21"/>
                    </w:rPr>
                    <w:t>得房率、主要房间南向比例、窗地面积比、户型通透性、无障碍与适老化配置</w:t>
                  </w:r>
                </w:p>
              </w:tc>
              <w:tc>
                <w:tcPr>
                  <w:tcW w:type="dxa" w:w="2950"/>
                  <w:vAlign w:val="center"/>
                </w:tcPr>
                <w:p>
                  <w:pPr>
                    <w:spacing w:before="0" w:after="0" w:lineRule="exact" w:line="440"/>
                    <w:ind w:firstLineChars="0" w:firstLine="0"/>
                    <w:jc w:val="left"/>
                  </w:pPr>
                  <w:r>
                    <w:rPr>
                      <w:rFonts w:ascii="Times New Roman" w:hAnsi="Times New Roman" w:eastAsia="宋体" w:cs="Times New Roman"/>
                      <w:b w:val="0"/>
                      <w:sz w:val="21"/>
                    </w:rPr>
                    <w:t>参数计算＋评分函数；GB 55038-2025；GB 50033-2013《建筑采光设计标准》</w:t>
                  </w:r>
                </w:p>
              </w:tc>
            </w:tr>
            <w:tr>
              <w:tc>
                <w:tcPr>
                  <w:tcW w:type="dxa" w:w="1350"/>
                  <w:vAlign w:val="center"/>
                </w:tcPr>
                <w:p>
                  <w:pPr>
                    <w:spacing w:before="0" w:after="0" w:lineRule="exact" w:line="440"/>
                    <w:ind w:firstLineChars="0" w:firstLine="0"/>
                    <w:jc w:val="center"/>
                  </w:pPr>
                  <w:r>
                    <w:rPr>
                      <w:rFonts w:ascii="Times New Roman" w:hAnsi="Times New Roman" w:eastAsia="宋体" w:cs="Times New Roman"/>
                      <w:b/>
                      <w:sz w:val="21"/>
                    </w:rPr>
                    <w:t>结构合理</w:t>
                    <w:br/>
                  </w:r>
                  <w:r>
                    <w:rPr>
                      <w:rFonts w:ascii="Times New Roman" w:hAnsi="Times New Roman" w:eastAsia="宋体" w:cs="Times New Roman"/>
                      <w:b/>
                      <w:sz w:val="21"/>
                    </w:rPr>
                    <w:t>与经济性</w:t>
                  </w:r>
                </w:p>
              </w:tc>
              <w:tc>
                <w:tcPr>
                  <w:tcW w:type="dxa" w:w="2650"/>
                  <w:vAlign w:val="center"/>
                </w:tcPr>
                <w:p>
                  <w:pPr>
                    <w:spacing w:before="0" w:after="0" w:lineRule="exact" w:line="440"/>
                    <w:ind w:firstLineChars="0" w:firstLine="0"/>
                    <w:jc w:val="left"/>
                  </w:pPr>
                  <w:r>
                    <w:rPr>
                      <w:rFonts w:ascii="Times New Roman" w:hAnsi="Times New Roman" w:eastAsia="宋体" w:cs="Times New Roman"/>
                      <w:b w:val="0"/>
                      <w:sz w:val="21"/>
                    </w:rPr>
                    <w:t>结构体系与建筑高度的适配性、平面与竖向规则性、估算建安造价</w:t>
                  </w:r>
                </w:p>
              </w:tc>
              <w:tc>
                <w:tcPr>
                  <w:tcW w:type="dxa" w:w="2950"/>
                  <w:vAlign w:val="center"/>
                </w:tcPr>
                <w:p>
                  <w:pPr>
                    <w:spacing w:before="0" w:after="0" w:lineRule="exact" w:line="440"/>
                    <w:ind w:firstLineChars="0" w:firstLine="0"/>
                    <w:jc w:val="left"/>
                  </w:pPr>
                  <w:r>
                    <w:rPr>
                      <w:rFonts w:ascii="Times New Roman" w:hAnsi="Times New Roman" w:eastAsia="宋体" w:cs="Times New Roman"/>
                      <w:b w:val="0"/>
                      <w:sz w:val="21"/>
                    </w:rPr>
                    <w:t>结构规范中的适用高度与规则性要求；公开造价指标×修正系数</w:t>
                  </w:r>
                </w:p>
              </w:tc>
            </w:tr>
            <w:tr>
              <w:tc>
                <w:tcPr>
                  <w:tcW w:type="dxa" w:w="1350"/>
                  <w:vAlign w:val="center"/>
                </w:tcPr>
                <w:p>
                  <w:pPr>
                    <w:spacing w:before="0" w:after="0" w:lineRule="exact" w:line="440"/>
                    <w:ind w:firstLineChars="0" w:firstLine="0"/>
                    <w:jc w:val="center"/>
                  </w:pPr>
                  <w:r>
                    <w:rPr>
                      <w:rFonts w:ascii="Times New Roman" w:hAnsi="Times New Roman" w:eastAsia="宋体" w:cs="Times New Roman"/>
                      <w:b/>
                      <w:sz w:val="21"/>
                    </w:rPr>
                    <w:t>施工友好与工友安全</w:t>
                    <w:br/>
                  </w:r>
                  <w:r>
                    <w:rPr>
                      <w:rFonts w:ascii="Times New Roman" w:hAnsi="Times New Roman" w:eastAsia="宋体" w:cs="Times New Roman"/>
                      <w:b/>
                      <w:sz w:val="21"/>
                    </w:rPr>
                    <w:t>（谋幸福）</w:t>
                  </w:r>
                </w:p>
              </w:tc>
              <w:tc>
                <w:tcPr>
                  <w:tcW w:type="dxa" w:w="2650"/>
                  <w:vAlign w:val="center"/>
                </w:tcPr>
                <w:p>
                  <w:pPr>
                    <w:spacing w:before="0" w:after="0" w:lineRule="exact" w:line="440"/>
                    <w:ind w:firstLineChars="0" w:firstLine="0"/>
                    <w:jc w:val="left"/>
                  </w:pPr>
                  <w:r>
                    <w:rPr>
                      <w:rFonts w:ascii="Times New Roman" w:hAnsi="Times New Roman" w:eastAsia="宋体" w:cs="Times New Roman"/>
                      <w:b w:val="0"/>
                      <w:sz w:val="21"/>
                    </w:rPr>
                    <w:t>标准层重复率、构件（模块）种类数、预估装配率与MiC适配度、可能涉及的危大工程与高处作业风险项、估算工期</w:t>
                  </w:r>
                </w:p>
              </w:tc>
              <w:tc>
                <w:tcPr>
                  <w:tcW w:type="dxa" w:w="2950"/>
                  <w:vAlign w:val="center"/>
                </w:tcPr>
                <w:p>
                  <w:pPr>
                    <w:spacing w:before="0" w:after="0" w:lineRule="exact" w:line="440"/>
                    <w:ind w:firstLineChars="0" w:firstLine="0"/>
                    <w:jc w:val="left"/>
                  </w:pPr>
                  <w:r>
                    <w:rPr>
                      <w:rFonts w:ascii="Times New Roman" w:hAnsi="Times New Roman" w:eastAsia="宋体" w:cs="Times New Roman"/>
                      <w:b w:val="0"/>
                      <w:sz w:val="21"/>
                    </w:rPr>
                    <w:t>GB/T 51129-2017《装配式建筑评价标准》；《危险性较大的分部分项工程安全管理规定》（住建部令第37号）</w:t>
                  </w:r>
                </w:p>
              </w:tc>
            </w:tr>
            <w:tr>
              <w:tc>
                <w:tcPr>
                  <w:tcW w:type="dxa" w:w="1350"/>
                  <w:vAlign w:val="center"/>
                </w:tcPr>
                <w:p>
                  <w:pPr>
                    <w:spacing w:before="0" w:after="0" w:lineRule="exact" w:line="440"/>
                    <w:ind w:firstLineChars="0" w:firstLine="0"/>
                    <w:jc w:val="center"/>
                  </w:pPr>
                  <w:r>
                    <w:rPr>
                      <w:rFonts w:ascii="Times New Roman" w:hAnsi="Times New Roman" w:eastAsia="宋体" w:cs="Times New Roman"/>
                      <w:b/>
                      <w:sz w:val="21"/>
                    </w:rPr>
                    <w:t>绿色低碳</w:t>
                  </w:r>
                </w:p>
              </w:tc>
              <w:tc>
                <w:tcPr>
                  <w:tcW w:type="dxa" w:w="2650"/>
                  <w:vAlign w:val="center"/>
                </w:tcPr>
                <w:p>
                  <w:pPr>
                    <w:spacing w:before="0" w:after="0" w:lineRule="exact" w:line="440"/>
                    <w:ind w:firstLineChars="0" w:firstLine="0"/>
                    <w:jc w:val="left"/>
                  </w:pPr>
                  <w:r>
                    <w:rPr>
                      <w:rFonts w:ascii="Times New Roman" w:hAnsi="Times New Roman" w:eastAsia="宋体" w:cs="Times New Roman"/>
                      <w:b w:val="0"/>
                      <w:sz w:val="21"/>
                    </w:rPr>
                    <w:t>体形系数、窗墙面积比、单位面积建材隐含碳估算、绿色建筑关键条文预评</w:t>
                  </w:r>
                </w:p>
              </w:tc>
              <w:tc>
                <w:tcPr>
                  <w:tcW w:type="dxa" w:w="2950"/>
                  <w:vAlign w:val="center"/>
                </w:tcPr>
                <w:p>
                  <w:pPr>
                    <w:spacing w:before="0" w:after="0" w:lineRule="exact" w:line="440"/>
                    <w:ind w:firstLineChars="0" w:firstLine="0"/>
                    <w:jc w:val="left"/>
                  </w:pPr>
                  <w:r>
                    <w:rPr>
                      <w:rFonts w:ascii="Times New Roman" w:hAnsi="Times New Roman" w:eastAsia="宋体" w:cs="Times New Roman"/>
                      <w:b w:val="0"/>
                      <w:sz w:val="21"/>
                    </w:rPr>
                    <w:t>GB 55015-2021《建筑节能与可再生能源利用通用规范》；GB/T 51366-2019《建筑碳排放计算标准》；GB/T 50378《绿色建筑评价标准》</w:t>
                  </w:r>
                </w:p>
              </w:tc>
            </w:tr>
          </w:tbl>
          <w:p/>
          <w:p>
            <w:pPr>
              <w:spacing w:before="0" w:after="0" w:lineRule="exact" w:line="440"/>
              <w:ind w:firstLineChars="200" w:firstLine="420"/>
              <w:jc w:val="both"/>
            </w:pPr>
            <w:r>
              <w:rPr>
                <w:rFonts w:ascii="Times New Roman" w:hAnsi="Times New Roman" w:eastAsia="宋体" w:cs="Times New Roman"/>
                <w:b w:val="0"/>
                <w:sz w:val="21"/>
              </w:rPr>
              <w:t>初赛阶段计划先实现各维度的核心指标，并将20条左右可量化的关键规范条文结构化为规则。指标、评分函数和规则均以配置文件存储，后续可按地区标准和企业标准持续扩展。</w:t>
            </w:r>
          </w:p>
          <w:p>
            <w:pPr>
              <w:keepNext/>
              <w:spacing w:before="0" w:after="0" w:lineRule="exact" w:line="440"/>
              <w:ind w:firstLineChars="0" w:firstLine="0"/>
              <w:jc w:val="left"/>
            </w:pPr>
            <w:r>
              <w:rPr>
                <w:rFonts w:ascii="Times New Roman" w:hAnsi="Times New Roman" w:eastAsia="宋体" w:cs="Times New Roman"/>
                <w:b/>
                <w:sz w:val="21"/>
              </w:rPr>
              <w:t>三、智能体设计</w:t>
            </w:r>
          </w:p>
          <w:p>
            <w:pPr>
              <w:spacing w:before="0" w:after="0" w:lineRule="exact" w:line="440"/>
              <w:ind w:firstLineChars="200" w:firstLine="420"/>
              <w:jc w:val="both"/>
            </w:pPr>
            <w:r>
              <w:rPr>
                <w:rFonts w:ascii="Times New Roman" w:hAnsi="Times New Roman" w:eastAsia="宋体" w:cs="Times New Roman"/>
                <w:b w:val="0"/>
                <w:sz w:val="21"/>
              </w:rPr>
              <w:t>系统基于状态图（LangGraph等框架）编排六类智能体，形成“解析—审查—评估—决策—报告”的主链路，并支持追问闭环：</w:t>
            </w:r>
          </w:p>
          <w:p>
            <w:pPr>
              <w:spacing w:before="0" w:after="0" w:lineRule="exact" w:line="440"/>
              <w:ind w:firstLineChars="200" w:firstLine="420"/>
              <w:jc w:val="both"/>
            </w:pPr>
            <w:r>
              <w:rPr>
                <w:rFonts w:ascii="Times New Roman" w:hAnsi="Times New Roman" w:eastAsia="宋体" w:cs="Times New Roman"/>
                <w:b w:val="0"/>
                <w:sz w:val="21"/>
              </w:rPr>
              <w:t>（1）协调智能体：理解用户目标（如“预算优先”“品质优先”“工期最短”），确定评估流程和决策者角色，调度其他智能体。</w:t>
            </w:r>
          </w:p>
          <w:p>
            <w:pPr>
              <w:spacing w:before="0" w:after="0" w:lineRule="exact" w:line="440"/>
              <w:ind w:firstLineChars="200" w:firstLine="420"/>
              <w:jc w:val="both"/>
            </w:pPr>
            <w:r>
              <w:rPr>
                <w:rFonts w:ascii="Times New Roman" w:hAnsi="Times New Roman" w:eastAsia="宋体" w:cs="Times New Roman"/>
                <w:b w:val="0"/>
                <w:sz w:val="21"/>
              </w:rPr>
              <w:t>（2）方案解析智能体：从表单、方案说明文档和经济技术指标表（PDF/Excel）中抽取结构化参数（楼栋数、层数、层高、面积、户型配比、结构形式等），按预定义的数据模式校验；对缺失或相互矛盾的数据主动向用户追问，确认后入库。</w:t>
            </w:r>
          </w:p>
          <w:p>
            <w:pPr>
              <w:spacing w:before="0" w:after="0" w:lineRule="exact" w:line="440"/>
              <w:ind w:firstLineChars="200" w:firstLine="420"/>
              <w:jc w:val="both"/>
            </w:pPr>
            <w:r>
              <w:rPr>
                <w:rFonts w:ascii="Times New Roman" w:hAnsi="Times New Roman" w:eastAsia="宋体" w:cs="Times New Roman"/>
                <w:b w:val="0"/>
                <w:sz w:val="21"/>
              </w:rPr>
              <w:t>（3）规范审查智能体：调用规则引擎逐条判定硬约束；对未通过项，通过检索增强生成（RAG）召回规范原文，输出“问题—条文—修改建议”三段式结果。</w:t>
            </w:r>
          </w:p>
          <w:p>
            <w:pPr>
              <w:spacing w:before="0" w:after="0" w:lineRule="exact" w:line="440"/>
              <w:ind w:firstLineChars="200" w:firstLine="420"/>
              <w:jc w:val="both"/>
            </w:pPr>
            <w:r>
              <w:rPr>
                <w:rFonts w:ascii="Times New Roman" w:hAnsi="Times New Roman" w:eastAsia="宋体" w:cs="Times New Roman"/>
                <w:b w:val="0"/>
                <w:sz w:val="21"/>
              </w:rPr>
              <w:t>（4）专业评估智能体组：设置建筑品质、结构与造价、施工友好与工友安全、绿色低碳四个“专业评审员”角色，并行调用对应的计算工具，输出分项得分、计算依据和数据不确定性说明。</w:t>
            </w:r>
          </w:p>
          <w:p>
            <w:pPr>
              <w:spacing w:before="0" w:after="0" w:lineRule="exact" w:line="440"/>
              <w:ind w:firstLineChars="200" w:firstLine="420"/>
              <w:jc w:val="both"/>
            </w:pPr>
            <w:r>
              <w:rPr>
                <w:rFonts w:ascii="Times New Roman" w:hAnsi="Times New Roman" w:eastAsia="宋体" w:cs="Times New Roman"/>
                <w:b w:val="0"/>
                <w:sz w:val="21"/>
              </w:rPr>
              <w:t>（5）决策智能体：采用层次分析法（AHP）确定维度权重，内置政府/保障房平台、开发企业、施工总包、住户四类角色的权重模板，也支持用户通过两两比较自定义权重，并进行一致性检验；采用TOPSIS法进行综合排序，同时筛出帕累托非劣方案；对权重做扰动敏感性分析，判断排序结论是否稳健。</w:t>
            </w:r>
          </w:p>
          <w:p>
            <w:pPr>
              <w:spacing w:before="0" w:after="0" w:lineRule="exact" w:line="440"/>
              <w:ind w:firstLineChars="200" w:firstLine="420"/>
              <w:jc w:val="both"/>
            </w:pPr>
            <w:r>
              <w:rPr>
                <w:rFonts w:ascii="Times New Roman" w:hAnsi="Times New Roman" w:eastAsia="宋体" w:cs="Times New Roman"/>
                <w:b w:val="0"/>
                <w:sz w:val="21"/>
              </w:rPr>
              <w:t>（6）报告与对话智能体：生成结构化比选报告（可导出Word/PDF），报告中每条结论都引用对应的工具输出和规范条文；支持用户追问，例如“如果方案B减少两层会怎样”，智能体修改参数、重新调用评估链路，并解释排名变化的原因。</w:t>
            </w:r>
          </w:p>
          <w:p>
            <w:pPr>
              <w:spacing w:before="0" w:after="0" w:lineRule="exact" w:line="440"/>
              <w:ind w:firstLineChars="200" w:firstLine="420"/>
              <w:jc w:val="both"/>
            </w:pPr>
            <w:r>
              <w:rPr>
                <w:rFonts w:ascii="Times New Roman" w:hAnsi="Times New Roman" w:eastAsia="宋体" w:cs="Times New Roman"/>
                <w:b w:val="0"/>
                <w:sz w:val="21"/>
              </w:rPr>
              <w:t>为保证结果可信，系统对所有工具调用的输入输出进行结构化校验；生成报告时，智能体只能引用工具实际返回的数值，不自行编造数据。</w:t>
            </w:r>
          </w:p>
          <w:p>
            <w:pPr>
              <w:keepNext/>
              <w:spacing w:before="0" w:after="0" w:lineRule="exact" w:line="440"/>
              <w:ind w:firstLineChars="0" w:firstLine="0"/>
              <w:jc w:val="left"/>
            </w:pPr>
            <w:r>
              <w:rPr>
                <w:rFonts w:ascii="Times New Roman" w:hAnsi="Times New Roman" w:eastAsia="宋体" w:cs="Times New Roman"/>
                <w:b/>
                <w:sz w:val="21"/>
              </w:rPr>
              <w:t>四、技术选型</w:t>
            </w:r>
          </w:p>
          <w:p>
            <w:pPr>
              <w:spacing w:before="0" w:after="0" w:lineRule="exact" w:line="440"/>
              <w:ind w:firstLineChars="200" w:firstLine="420"/>
              <w:jc w:val="both"/>
            </w:pPr>
            <w:r>
              <w:rPr>
                <w:rFonts w:ascii="Times New Roman" w:hAnsi="Times New Roman" w:eastAsia="宋体" w:cs="Times New Roman"/>
                <w:b w:val="0"/>
                <w:sz w:val="21"/>
              </w:rPr>
              <w:t>后端采用Python＋FastAPI；智能体编排采用LangGraph或同类框架；大模型通过OpenAI兼容接口接入，可在DeepSeek、通义千问等国产模型之间切换；知识检索采用bge-m3向量模型＋Chroma向量库；规则库和指标库使用YAML配置，业务数据使用SQLite；前端采用React＋TypeScript＋Vite，用ECharts实现雷达图、平行坐标图和敏感性热力图；整体通过Docker Compose一键部署，源码仓库附完整README说明文档。所选技术均为成熟的开源方案，团队计算机专业成员具备FastAPI、React和Docker的开发与部署经验。</w:t>
            </w:r>
          </w:p>
          <w:p>
            <w:pPr>
              <w:keepNext/>
              <w:spacing w:before="0" w:after="0" w:lineRule="exact" w:line="440"/>
              <w:ind w:firstLineChars="0" w:firstLine="0"/>
              <w:jc w:val="left"/>
            </w:pPr>
            <w:r>
              <w:rPr>
                <w:rFonts w:ascii="Times New Roman" w:hAnsi="Times New Roman" w:eastAsia="宋体" w:cs="Times New Roman"/>
                <w:b/>
                <w:sz w:val="21"/>
              </w:rPr>
              <w:t>五、数据来源</w:t>
            </w:r>
          </w:p>
          <w:p>
            <w:pPr>
              <w:spacing w:before="0" w:after="0" w:lineRule="exact" w:line="440"/>
              <w:ind w:firstLineChars="200" w:firstLine="420"/>
              <w:jc w:val="both"/>
            </w:pPr>
            <w:r>
              <w:rPr>
                <w:rFonts w:ascii="Times New Roman" w:hAnsi="Times New Roman" w:eastAsia="宋体" w:cs="Times New Roman"/>
                <w:b w:val="0"/>
                <w:sz w:val="21"/>
              </w:rPr>
              <w:t>（1）规范知识：选取与住宅方案设计相关的现行国家标准，由专业成员将可量化条文人工整理为规则；（2）测试方案：拟以团队成员课程设计中的方案和公开的保障性住房设计案例为主，构建多方案测试集；（3）参数库：造价指标参考地方造价管理部门公开发布的数据，碳排放因子参考GB/T 51366-2019附录。系统以参数化输入为主，不依赖完整的BIM模型，降低了数据获取门槛。</w:t>
            </w:r>
          </w:p>
          <w:p>
            <w:pPr>
              <w:keepNext/>
              <w:spacing w:before="0" w:after="0" w:lineRule="exact" w:line="440"/>
              <w:ind w:firstLineChars="0" w:firstLine="0"/>
              <w:jc w:val="left"/>
            </w:pPr>
            <w:r>
              <w:rPr>
                <w:rFonts w:ascii="Times New Roman" w:hAnsi="Times New Roman" w:eastAsia="宋体" w:cs="Times New Roman"/>
                <w:b/>
                <w:sz w:val="21"/>
              </w:rPr>
              <w:t>六、验证方案</w:t>
            </w:r>
          </w:p>
          <w:p>
            <w:pPr>
              <w:spacing w:before="0" w:after="0" w:lineRule="exact" w:line="440"/>
              <w:ind w:firstLineChars="200" w:firstLine="420"/>
              <w:jc w:val="both"/>
            </w:pPr>
            <w:r>
              <w:rPr>
                <w:rFonts w:ascii="Times New Roman" w:hAnsi="Times New Roman" w:eastAsia="宋体" w:cs="Times New Roman"/>
                <w:b w:val="0"/>
                <w:sz w:val="21"/>
              </w:rPr>
              <w:t>（1）计算准确性：将计算类指标与人工手算结果比对，并统计规范审查的查全率和查准率；（2）决策合理性：邀请指导教师或企业导师对若干组测试方案给出排序，计算其与系统排序的Kendall相关系数；（3）效率：记录一次完整比选所需时间，与人工汇总流程对比。验证结果将在初赛中如实展示。</w:t>
            </w:r>
          </w:p>
          <w:p>
            <w:pPr>
              <w:keepNext/>
              <w:spacing w:before="0" w:after="0" w:lineRule="exact" w:line="440"/>
              <w:ind w:firstLineChars="0" w:firstLine="0"/>
              <w:jc w:val="left"/>
            </w:pPr>
            <w:r>
              <w:rPr>
                <w:rFonts w:ascii="Times New Roman" w:hAnsi="Times New Roman" w:eastAsia="宋体" w:cs="Times New Roman"/>
                <w:b/>
                <w:sz w:val="21"/>
              </w:rPr>
              <w:t>七、实施计划与分工</w:t>
            </w:r>
          </w:p>
          <w:p>
            <w:pPr>
              <w:keepNext/>
              <w:spacing w:before="0" w:after="0" w:lineRule="exact" w:line="440"/>
              <w:ind w:firstLineChars="0" w:firstLine="0"/>
              <w:jc w:val="center"/>
            </w:pPr>
            <w:r>
              <w:rPr>
                <w:rFonts w:ascii="Times New Roman" w:hAnsi="Times New Roman" w:eastAsia="宋体" w:cs="Times New Roman"/>
                <w:b/>
                <w:sz w:val="21"/>
              </w:rPr>
              <w:t>表2  实施计划</w:t>
            </w:r>
          </w:p>
          <w:tbl>
            <w:tblPr>
              <w:tblW w:type="dxa" w:w="695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500"/>
              <w:gridCol w:w="3900"/>
              <w:gridCol w:w="1550"/>
            </w:tblGrid>
            <w:tr>
              <w:trPr>
                <w:tblHeader/>
              </w:trPr>
              <w:tc>
                <w:tcPr>
                  <w:tcW w:type="dxa" w:w="1500"/>
                  <w:shd w:val="clear" w:color="auto" w:fill="E8EEF8"/>
                  <w:vAlign w:val="center"/>
                </w:tcPr>
                <w:p>
                  <w:pPr>
                    <w:spacing w:before="0" w:after="0" w:lineRule="exact" w:line="440"/>
                    <w:ind w:firstLineChars="0" w:firstLine="0"/>
                    <w:jc w:val="center"/>
                  </w:pPr>
                  <w:r>
                    <w:rPr>
                      <w:rFonts w:ascii="Times New Roman" w:hAnsi="Times New Roman" w:eastAsia="宋体" w:cs="Times New Roman"/>
                      <w:b/>
                      <w:sz w:val="21"/>
                    </w:rPr>
                    <w:t>时间</w:t>
                  </w:r>
                </w:p>
              </w:tc>
              <w:tc>
                <w:tcPr>
                  <w:tcW w:type="dxa" w:w="3900"/>
                  <w:shd w:val="clear" w:color="auto" w:fill="E8EEF8"/>
                  <w:vAlign w:val="center"/>
                </w:tcPr>
                <w:p>
                  <w:pPr>
                    <w:spacing w:before="0" w:after="0" w:lineRule="exact" w:line="440"/>
                    <w:ind w:firstLineChars="0" w:firstLine="0"/>
                    <w:jc w:val="center"/>
                  </w:pPr>
                  <w:r>
                    <w:rPr>
                      <w:rFonts w:ascii="Times New Roman" w:hAnsi="Times New Roman" w:eastAsia="宋体" w:cs="Times New Roman"/>
                      <w:b/>
                      <w:sz w:val="21"/>
                    </w:rPr>
                    <w:t>工作内容</w:t>
                  </w:r>
                </w:p>
              </w:tc>
              <w:tc>
                <w:tcPr>
                  <w:tcW w:type="dxa" w:w="1550"/>
                  <w:shd w:val="clear" w:color="auto" w:fill="E8EEF8"/>
                  <w:vAlign w:val="center"/>
                </w:tcPr>
                <w:p>
                  <w:pPr>
                    <w:spacing w:before="0" w:after="0" w:lineRule="exact" w:line="440"/>
                    <w:ind w:firstLineChars="0" w:firstLine="0"/>
                    <w:jc w:val="center"/>
                  </w:pPr>
                  <w:r>
                    <w:rPr>
                      <w:rFonts w:ascii="Times New Roman" w:hAnsi="Times New Roman" w:eastAsia="宋体" w:cs="Times New Roman"/>
                      <w:b/>
                      <w:sz w:val="21"/>
                    </w:rPr>
                    <w:t>主要负责</w:t>
                  </w:r>
                </w:p>
              </w:tc>
            </w:tr>
            <w:tr>
              <w:tc>
                <w:tcPr>
                  <w:tcW w:type="dxa" w:w="1500"/>
                  <w:vAlign w:val="center"/>
                </w:tcPr>
                <w:p>
                  <w:pPr>
                    <w:spacing w:before="0" w:after="0" w:lineRule="exact" w:line="440"/>
                    <w:ind w:firstLineChars="0" w:firstLine="0"/>
                    <w:jc w:val="center"/>
                  </w:pPr>
                  <w:r>
                    <w:rPr>
                      <w:rFonts w:ascii="Times New Roman" w:hAnsi="Times New Roman" w:eastAsia="宋体" w:cs="Times New Roman"/>
                      <w:b/>
                      <w:sz w:val="21"/>
                    </w:rPr>
                    <w:t>9月下旬</w:t>
                  </w:r>
                </w:p>
              </w:tc>
              <w:tc>
                <w:tcPr>
                  <w:tcW w:type="dxa" w:w="3900"/>
                  <w:vAlign w:val="center"/>
                </w:tcPr>
                <w:p>
                  <w:pPr>
                    <w:spacing w:before="0" w:after="0" w:lineRule="exact" w:line="440"/>
                    <w:ind w:firstLineChars="0" w:firstLine="0"/>
                    <w:jc w:val="left"/>
                  </w:pPr>
                  <w:r>
                    <w:rPr>
                      <w:rFonts w:ascii="Times New Roman" w:hAnsi="Times New Roman" w:eastAsia="宋体" w:cs="Times New Roman"/>
                      <w:b w:val="0"/>
                      <w:sz w:val="21"/>
                    </w:rPr>
                    <w:t>确定选题，完成申报书和指标体系初稿</w:t>
                  </w:r>
                </w:p>
              </w:tc>
              <w:tc>
                <w:tcPr>
                  <w:tcW w:type="dxa" w:w="1550"/>
                  <w:vAlign w:val="center"/>
                </w:tcPr>
                <w:p>
                  <w:pPr>
                    <w:spacing w:before="0" w:after="0" w:lineRule="exact" w:line="440"/>
                    <w:ind w:firstLineChars="0" w:firstLine="0"/>
                    <w:jc w:val="left"/>
                  </w:pPr>
                  <w:r>
                    <w:rPr>
                      <w:rFonts w:ascii="Times New Roman" w:hAnsi="Times New Roman" w:eastAsia="宋体" w:cs="Times New Roman"/>
                      <w:b w:val="0"/>
                      <w:sz w:val="21"/>
                    </w:rPr>
                    <w:t>全体成员</w:t>
                  </w:r>
                </w:p>
              </w:tc>
            </w:tr>
            <w:tr>
              <w:tc>
                <w:tcPr>
                  <w:tcW w:type="dxa" w:w="1500"/>
                  <w:vAlign w:val="center"/>
                </w:tcPr>
                <w:p>
                  <w:pPr>
                    <w:spacing w:before="0" w:after="0" w:lineRule="exact" w:line="440"/>
                    <w:ind w:firstLineChars="0" w:firstLine="0"/>
                    <w:jc w:val="center"/>
                  </w:pPr>
                  <w:r>
                    <w:rPr>
                      <w:rFonts w:ascii="Times New Roman" w:hAnsi="Times New Roman" w:eastAsia="宋体" w:cs="Times New Roman"/>
                      <w:b/>
                      <w:sz w:val="21"/>
                    </w:rPr>
                    <w:t>10月第1周</w:t>
                  </w:r>
                </w:p>
              </w:tc>
              <w:tc>
                <w:tcPr>
                  <w:tcW w:type="dxa" w:w="3900"/>
                  <w:vAlign w:val="center"/>
                </w:tcPr>
                <w:p>
                  <w:pPr>
                    <w:spacing w:before="0" w:after="0" w:lineRule="exact" w:line="440"/>
                    <w:ind w:firstLineChars="0" w:firstLine="0"/>
                    <w:jc w:val="left"/>
                  </w:pPr>
                  <w:r>
                    <w:rPr>
                      <w:rFonts w:ascii="Times New Roman" w:hAnsi="Times New Roman" w:eastAsia="宋体" w:cs="Times New Roman"/>
                      <w:b w:val="0"/>
                      <w:sz w:val="21"/>
                    </w:rPr>
                    <w:t>指标与评分规则定稿；数据模式与接口设计；交互原型设计</w:t>
                  </w:r>
                </w:p>
              </w:tc>
              <w:tc>
                <w:tcPr>
                  <w:tcW w:type="dxa" w:w="1550"/>
                  <w:vAlign w:val="center"/>
                </w:tcPr>
                <w:p>
                  <w:pPr>
                    <w:spacing w:before="0" w:after="0" w:lineRule="exact" w:line="440"/>
                    <w:ind w:firstLineChars="0" w:firstLine="0"/>
                    <w:jc w:val="left"/>
                  </w:pPr>
                  <w:r>
                    <w:rPr>
                      <w:rFonts w:ascii="Times New Roman" w:hAnsi="Times New Roman" w:eastAsia="宋体" w:cs="Times New Roman"/>
                      <w:b w:val="0"/>
                      <w:sz w:val="21"/>
                    </w:rPr>
                    <w:t>建筑、土木；计算机；工业设计</w:t>
                  </w:r>
                </w:p>
              </w:tc>
            </w:tr>
            <w:tr>
              <w:tc>
                <w:tcPr>
                  <w:tcW w:type="dxa" w:w="1500"/>
                  <w:vAlign w:val="center"/>
                </w:tcPr>
                <w:p>
                  <w:pPr>
                    <w:spacing w:before="0" w:after="0" w:lineRule="exact" w:line="440"/>
                    <w:ind w:firstLineChars="0" w:firstLine="0"/>
                    <w:jc w:val="center"/>
                  </w:pPr>
                  <w:r>
                    <w:rPr>
                      <w:rFonts w:ascii="Times New Roman" w:hAnsi="Times New Roman" w:eastAsia="宋体" w:cs="Times New Roman"/>
                      <w:b/>
                      <w:sz w:val="21"/>
                    </w:rPr>
                    <w:t>10月第2周</w:t>
                  </w:r>
                </w:p>
              </w:tc>
              <w:tc>
                <w:tcPr>
                  <w:tcW w:type="dxa" w:w="3900"/>
                  <w:vAlign w:val="center"/>
                </w:tcPr>
                <w:p>
                  <w:pPr>
                    <w:spacing w:before="0" w:after="0" w:lineRule="exact" w:line="440"/>
                    <w:ind w:firstLineChars="0" w:firstLine="0"/>
                    <w:jc w:val="left"/>
                  </w:pPr>
                  <w:r>
                    <w:rPr>
                      <w:rFonts w:ascii="Times New Roman" w:hAnsi="Times New Roman" w:eastAsia="宋体" w:cs="Times New Roman"/>
                      <w:b w:val="0"/>
                      <w:sz w:val="21"/>
                    </w:rPr>
                    <w:t>规则引擎、计算工具与规范知识库开发；前端框架搭建</w:t>
                  </w:r>
                </w:p>
              </w:tc>
              <w:tc>
                <w:tcPr>
                  <w:tcW w:type="dxa" w:w="1550"/>
                  <w:vAlign w:val="center"/>
                </w:tcPr>
                <w:p>
                  <w:pPr>
                    <w:spacing w:before="0" w:after="0" w:lineRule="exact" w:line="440"/>
                    <w:ind w:firstLineChars="0" w:firstLine="0"/>
                    <w:jc w:val="left"/>
                  </w:pPr>
                  <w:r>
                    <w:rPr>
                      <w:rFonts w:ascii="Times New Roman" w:hAnsi="Times New Roman" w:eastAsia="宋体" w:cs="Times New Roman"/>
                      <w:b w:val="0"/>
                      <w:sz w:val="21"/>
                    </w:rPr>
                    <w:t>计算机、土木、建筑</w:t>
                  </w:r>
                </w:p>
              </w:tc>
            </w:tr>
            <w:tr>
              <w:tc>
                <w:tcPr>
                  <w:tcW w:type="dxa" w:w="1500"/>
                  <w:vAlign w:val="center"/>
                </w:tcPr>
                <w:p>
                  <w:pPr>
                    <w:spacing w:before="0" w:after="0" w:lineRule="exact" w:line="440"/>
                    <w:ind w:firstLineChars="0" w:firstLine="0"/>
                    <w:jc w:val="center"/>
                  </w:pPr>
                  <w:r>
                    <w:rPr>
                      <w:rFonts w:ascii="Times New Roman" w:hAnsi="Times New Roman" w:eastAsia="宋体" w:cs="Times New Roman"/>
                      <w:b/>
                      <w:sz w:val="21"/>
                    </w:rPr>
                    <w:t>10月第3周</w:t>
                  </w:r>
                </w:p>
              </w:tc>
              <w:tc>
                <w:tcPr>
                  <w:tcW w:type="dxa" w:w="3900"/>
                  <w:vAlign w:val="center"/>
                </w:tcPr>
                <w:p>
                  <w:pPr>
                    <w:spacing w:before="0" w:after="0" w:lineRule="exact" w:line="440"/>
                    <w:ind w:firstLineChars="0" w:firstLine="0"/>
                    <w:jc w:val="left"/>
                  </w:pPr>
                  <w:r>
                    <w:rPr>
                      <w:rFonts w:ascii="Times New Roman" w:hAnsi="Times New Roman" w:eastAsia="宋体" w:cs="Times New Roman"/>
                      <w:b w:val="0"/>
                      <w:sz w:val="21"/>
                    </w:rPr>
                    <w:t>智能体编排联调、决策算法与报告生成；整理测试方案集</w:t>
                  </w:r>
                </w:p>
              </w:tc>
              <w:tc>
                <w:tcPr>
                  <w:tcW w:type="dxa" w:w="1550"/>
                  <w:vAlign w:val="center"/>
                </w:tcPr>
                <w:p>
                  <w:pPr>
                    <w:spacing w:before="0" w:after="0" w:lineRule="exact" w:line="440"/>
                    <w:ind w:firstLineChars="0" w:firstLine="0"/>
                    <w:jc w:val="left"/>
                  </w:pPr>
                  <w:r>
                    <w:rPr>
                      <w:rFonts w:ascii="Times New Roman" w:hAnsi="Times New Roman" w:eastAsia="宋体" w:cs="Times New Roman"/>
                      <w:b w:val="0"/>
                      <w:sz w:val="21"/>
                    </w:rPr>
                    <w:t>计算机；建筑、土木</w:t>
                  </w:r>
                </w:p>
              </w:tc>
            </w:tr>
            <w:tr>
              <w:tc>
                <w:tcPr>
                  <w:tcW w:type="dxa" w:w="1500"/>
                  <w:vAlign w:val="center"/>
                </w:tcPr>
                <w:p>
                  <w:pPr>
                    <w:spacing w:before="0" w:after="0" w:lineRule="exact" w:line="440"/>
                    <w:ind w:firstLineChars="0" w:firstLine="0"/>
                    <w:jc w:val="center"/>
                  </w:pPr>
                  <w:r>
                    <w:rPr>
                      <w:rFonts w:ascii="Times New Roman" w:hAnsi="Times New Roman" w:eastAsia="宋体" w:cs="Times New Roman"/>
                      <w:b/>
                      <w:sz w:val="21"/>
                    </w:rPr>
                    <w:t>10月第4周</w:t>
                  </w:r>
                </w:p>
              </w:tc>
              <w:tc>
                <w:tcPr>
                  <w:tcW w:type="dxa" w:w="3900"/>
                  <w:vAlign w:val="center"/>
                </w:tcPr>
                <w:p>
                  <w:pPr>
                    <w:spacing w:before="0" w:after="0" w:lineRule="exact" w:line="440"/>
                    <w:ind w:firstLineChars="0" w:firstLine="0"/>
                    <w:jc w:val="left"/>
                  </w:pPr>
                  <w:r>
                    <w:rPr>
                      <w:rFonts w:ascii="Times New Roman" w:hAnsi="Times New Roman" w:eastAsia="宋体" w:cs="Times New Roman"/>
                      <w:b w:val="0"/>
                      <w:sz w:val="21"/>
                    </w:rPr>
                    <w:t>测试与专家对照评估；交互打磨；录制不超过5分钟的演示视频，完成技术架构图与README</w:t>
                  </w:r>
                </w:p>
              </w:tc>
              <w:tc>
                <w:tcPr>
                  <w:tcW w:type="dxa" w:w="1550"/>
                  <w:vAlign w:val="center"/>
                </w:tcPr>
                <w:p>
                  <w:pPr>
                    <w:spacing w:before="0" w:after="0" w:lineRule="exact" w:line="440"/>
                    <w:ind w:firstLineChars="0" w:firstLine="0"/>
                    <w:jc w:val="left"/>
                  </w:pPr>
                  <w:r>
                    <w:rPr>
                      <w:rFonts w:ascii="Times New Roman" w:hAnsi="Times New Roman" w:eastAsia="宋体" w:cs="Times New Roman"/>
                      <w:b w:val="0"/>
                      <w:sz w:val="21"/>
                    </w:rPr>
                    <w:t>全体成员</w:t>
                  </w:r>
                </w:p>
              </w:tc>
            </w:tr>
          </w:tbl>
          <w:p/>
          <w:p>
            <w:pPr>
              <w:spacing w:before="0" w:after="0" w:lineRule="exact" w:line="440"/>
              <w:ind w:firstLineChars="200" w:firstLine="420"/>
              <w:jc w:val="both"/>
            </w:pPr>
            <w:r>
              <w:rPr>
                <w:rFonts w:ascii="Times New Roman" w:hAnsi="Times New Roman" w:eastAsia="宋体" w:cs="Times New Roman"/>
                <w:b w:val="0"/>
                <w:sz w:val="21"/>
              </w:rPr>
              <w:t>开发遵循“主链路优先”原则：先打通“录入—审查—评估—比选—报告”的最小可用版本，再加入文档解析、What-if推演等增强功能，确保初赛前有可稳定演示的交互原型。</w:t>
            </w:r>
          </w:p>
          <w:p>
            <w:pPr>
              <w:keepNext/>
              <w:spacing w:before="0" w:after="0" w:lineRule="exact" w:line="440"/>
              <w:ind w:firstLineChars="0" w:firstLine="0"/>
              <w:jc w:val="left"/>
            </w:pPr>
            <w:r>
              <w:rPr>
                <w:rFonts w:ascii="Times New Roman" w:hAnsi="Times New Roman" w:eastAsia="宋体" w:cs="Times New Roman"/>
                <w:b/>
                <w:sz w:val="21"/>
              </w:rPr>
              <w:t>八、风险与应对</w:t>
            </w:r>
          </w:p>
          <w:p>
            <w:pPr>
              <w:spacing w:before="0" w:after="0" w:lineRule="exact" w:line="440"/>
              <w:ind w:firstLineChars="200" w:firstLine="420"/>
              <w:jc w:val="both"/>
            </w:pPr>
            <w:r>
              <w:rPr>
                <w:rFonts w:ascii="Times New Roman" w:hAnsi="Times New Roman" w:eastAsia="宋体" w:cs="Times New Roman"/>
                <w:b w:val="0"/>
                <w:sz w:val="21"/>
              </w:rPr>
              <w:t>（1）大模型幻觉：以“工具计算＋规则判定＋引用校验”约束输出；（2）数据不足：以参数化输入和公开数据为主，不依赖企业内部数据；（3）指标简化带来误差：系统定位为方案阶段的初筛与决策辅助，报告中标注各指标的适用范围和简化假设，不替代专业审图与设计计算；（4）开发周期紧：采用最小可用版本优先的迭代策略，功能按优先级分批交付。</w:t>
            </w:r>
          </w:p>
        </w:tc>
        <w:tc>
          <w:tcPr>
            <w:tcW w:w="470" w:type="dxa"/>
            <w:tcBorders/>
            <w:tcMar>
              <w:start w:w="0" w:type="dxa"/>
              <w:end w:w="0" w:type="dxa"/>
            </w:tcMar>
          </w:tcPr>
          <w:p>
            <w:pPr>
              <w:pStyle w:val="Normal"/>
              <w:snapToGrid w:val="false"/>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rHeight w:val="2573" w:hRule="atLeast"/>
        </w:trPr>
        <w:tc>
          <w:tcPr>
            <w:tcW w:w="1333"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center"/>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创新点</w:t>
            </w:r>
          </w:p>
        </w:tc>
        <w:tc>
          <w:tcPr>
            <w:tcW w:w="7189" w:type="dxa"/>
            <w:gridSpan w:val="8"/>
            <w:tcBorders>
              <w:top w:val="single" w:sz="4" w:space="0" w:color="000000"/>
              <w:start w:val="single" w:sz="4" w:space="0" w:color="000000"/>
              <w:bottom w:val="single" w:sz="4" w:space="0" w:color="000000"/>
              <w:end w:val="single" w:sz="4" w:space="0" w:color="000000"/>
            </w:tcBorders>
          </w:tcPr>
          <w:p>
            <w:pPr>
              <w:keepNext/>
              <w:spacing w:before="0" w:after="0" w:lineRule="exact" w:line="440"/>
              <w:ind w:firstLineChars="0" w:firstLine="0"/>
              <w:jc w:val="left"/>
            </w:pPr>
            <w:r>
              <w:rPr>
                <w:rFonts w:ascii="Times New Roman" w:hAnsi="Times New Roman" w:eastAsia="宋体" w:cs="Times New Roman"/>
                <w:b/>
                <w:sz w:val="21"/>
              </w:rPr>
              <w:t>（1）把“工友视角”前置到方案设计阶段，统一权衡“建好房”与“谋幸福”</w:t>
            </w:r>
          </w:p>
          <w:p>
            <w:pPr>
              <w:spacing w:before="0" w:after="0" w:lineRule="exact" w:line="440"/>
              <w:ind w:firstLineChars="200" w:firstLine="420"/>
              <w:jc w:val="both"/>
            </w:pPr>
            <w:r>
              <w:rPr>
                <w:rFonts w:ascii="Times New Roman" w:hAnsi="Times New Roman" w:eastAsia="宋体" w:cs="Times New Roman"/>
                <w:b w:val="0"/>
                <w:sz w:val="21"/>
              </w:rPr>
              <w:t>本项目将“施工友好与工友安全”设为与居住品质并列的一级评价维度，在方案阶段量化标准化程度、预估装配率与MiC适配度、危大工程与高处作业风险项、估算工期等指标，体现“设计防范”（Prevention through Design）理念：从源头减少施工风险，而不是等到施工阶段再补救。传统方案比选多从投资方和使用者视角出发，本项目尝试把一线工友的安全和工作条件纳入量化决策。</w:t>
            </w:r>
          </w:p>
          <w:p>
            <w:pPr>
              <w:keepNext/>
              <w:spacing w:before="0" w:after="0" w:lineRule="exact" w:line="440"/>
              <w:ind w:firstLineChars="0" w:firstLine="0"/>
              <w:jc w:val="left"/>
            </w:pPr>
            <w:r>
              <w:rPr>
                <w:rFonts w:ascii="Times New Roman" w:hAnsi="Times New Roman" w:eastAsia="宋体" w:cs="Times New Roman"/>
                <w:b/>
                <w:sz w:val="21"/>
              </w:rPr>
              <w:t>（2）“大模型编排＋确定性工具＋规范检索”的可信智能体架构</w:t>
            </w:r>
          </w:p>
          <w:p>
            <w:pPr>
              <w:spacing w:before="0" w:after="0" w:lineRule="exact" w:line="440"/>
              <w:ind w:firstLineChars="200" w:firstLine="420"/>
              <w:jc w:val="both"/>
            </w:pPr>
            <w:r>
              <w:rPr>
                <w:rFonts w:ascii="Times New Roman" w:hAnsi="Times New Roman" w:eastAsia="宋体" w:cs="Times New Roman"/>
                <w:b w:val="0"/>
                <w:sz w:val="21"/>
              </w:rPr>
              <w:t>大模型不直接“打分”，而是负责理解需求、规划流程和解释结果；所有数值由计算工具给出，合规性由规则引擎判定，结论引用规范原文。每个分数都能追溯到参数、公式和条文，报告可审计，适用于工程决策这类对准确性要求高的场景。</w:t>
            </w:r>
          </w:p>
          <w:p>
            <w:pPr>
              <w:keepNext/>
              <w:spacing w:before="0" w:after="0" w:lineRule="exact" w:line="440"/>
              <w:ind w:firstLineChars="0" w:firstLine="0"/>
              <w:jc w:val="left"/>
            </w:pPr>
            <w:r>
              <w:rPr>
                <w:rFonts w:ascii="Times New Roman" w:hAnsi="Times New Roman" w:eastAsia="宋体" w:cs="Times New Roman"/>
                <w:b/>
                <w:sz w:val="21"/>
              </w:rPr>
              <w:t>（3）面向多利益相关方的比选与稳健性分析</w:t>
            </w:r>
          </w:p>
          <w:p>
            <w:pPr>
              <w:spacing w:before="0" w:after="0" w:lineRule="exact" w:line="440"/>
              <w:ind w:firstLineChars="200" w:firstLine="420"/>
              <w:jc w:val="both"/>
            </w:pPr>
            <w:r>
              <w:rPr>
                <w:rFonts w:ascii="Times New Roman" w:hAnsi="Times New Roman" w:eastAsia="宋体" w:cs="Times New Roman"/>
                <w:b w:val="0"/>
                <w:sz w:val="21"/>
              </w:rPr>
              <w:t>系统不只给出一个“标准答案”，而是展示不同角色（政府、开发企业、施工总包、住户）偏好下的排序结果和帕累托非劣方案，以及权重变化时排序是否稳定，回答“在什么条件下哪个方案更优、这个结论有多可靠”，为多方协商提供共同的讨论基础。工业设计专业成员设计的交互界面中，权重滑杆与雷达图、排名实时联动，使权衡过程一目了然。</w:t>
            </w:r>
          </w:p>
          <w:p>
            <w:pPr>
              <w:keepNext/>
              <w:spacing w:before="0" w:after="0" w:lineRule="exact" w:line="440"/>
              <w:ind w:firstLineChars="0" w:firstLine="0"/>
              <w:jc w:val="left"/>
            </w:pPr>
            <w:r>
              <w:rPr>
                <w:rFonts w:ascii="Times New Roman" w:hAnsi="Times New Roman" w:eastAsia="宋体" w:cs="Times New Roman"/>
                <w:b/>
                <w:sz w:val="21"/>
              </w:rPr>
              <w:t>（4）对话式方案推演，让比选成为设计迭代的一部分</w:t>
            </w:r>
          </w:p>
          <w:p>
            <w:pPr>
              <w:spacing w:before="0" w:after="0" w:lineRule="exact" w:line="440"/>
              <w:ind w:firstLineChars="200" w:firstLine="420"/>
              <w:jc w:val="both"/>
            </w:pPr>
            <w:r>
              <w:rPr>
                <w:rFonts w:ascii="Times New Roman" w:hAnsi="Times New Roman" w:eastAsia="宋体" w:cs="Times New Roman"/>
                <w:b w:val="0"/>
                <w:sz w:val="21"/>
              </w:rPr>
              <w:t>用户可以用自然语言提出“如果……会怎样”的问题，智能体自动修改参数、重新评估，并说明是哪些指标的变化导致了排名改变，使比选从一次性报告变为可交互的设计迭代过程。</w:t>
            </w:r>
          </w:p>
          <w:p>
            <w:pPr>
              <w:keepNext/>
              <w:spacing w:before="0" w:after="0" w:lineRule="exact" w:line="440"/>
              <w:ind w:firstLineChars="0" w:firstLine="0"/>
              <w:jc w:val="left"/>
            </w:pPr>
            <w:r>
              <w:rPr>
                <w:rFonts w:ascii="Times New Roman" w:hAnsi="Times New Roman" w:eastAsia="宋体" w:cs="Times New Roman"/>
                <w:b/>
                <w:sz w:val="21"/>
              </w:rPr>
              <w:t>（5）规则可配置、跨专业共建，便于复用推广</w:t>
            </w:r>
          </w:p>
          <w:p>
            <w:pPr>
              <w:spacing w:before="0" w:after="0" w:lineRule="exact" w:line="440"/>
              <w:ind w:firstLineChars="200" w:firstLine="420"/>
              <w:jc w:val="both"/>
            </w:pPr>
            <w:r>
              <w:rPr>
                <w:rFonts w:ascii="Times New Roman" w:hAnsi="Times New Roman" w:eastAsia="宋体" w:cs="Times New Roman"/>
                <w:b w:val="0"/>
                <w:sz w:val="21"/>
              </w:rPr>
              <w:t>指标、评分函数和规范规则以YAML配置文件表达，建筑、土木等非编程背景的专业人员也能直接阅读、维护和扩展。企业可以写入自身标准和产品库（如MiC模块产品规格），实现跨项目、跨地区、跨部门复用。</w:t>
            </w:r>
          </w:p>
        </w:tc>
        <w:tc>
          <w:tcPr>
            <w:tcW w:w="470" w:type="dxa"/>
            <w:tcBorders/>
            <w:tcMar>
              <w:start w:w="0" w:type="dxa"/>
              <w:end w:w="0" w:type="dxa"/>
            </w:tcMar>
          </w:tcPr>
          <w:p>
            <w:pPr>
              <w:pStyle w:val="Normal"/>
              <w:snapToGrid w:val="false"/>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r>
        <w:trPr>
          <w:trHeight w:val="3493" w:hRule="atLeast"/>
        </w:trPr>
        <w:tc>
          <w:tcPr>
            <w:tcW w:w="1333" w:type="dxa"/>
            <w:gridSpan w:val="2"/>
            <w:tcBorders>
              <w:top w:val="single" w:sz="4" w:space="0" w:color="000000"/>
              <w:start w:val="single" w:sz="4" w:space="0" w:color="000000"/>
              <w:bottom w:val="single" w:sz="4" w:space="0" w:color="000000"/>
              <w:end w:val="single" w:sz="4" w:space="0" w:color="000000"/>
            </w:tcBorders>
          </w:tcPr>
          <w:p>
            <w:pPr>
              <w:pStyle w:val="Normal"/>
              <w:numPr>
                <w:ilvl w:val="0"/>
                <w:numId w:val="0"/>
              </w:numPr>
              <w:snapToGrid w:val="false"/>
              <w:spacing w:lineRule="auto" w:line="600"/>
              <w:ind w:hanging="0" w:start="0"/>
              <w:jc w:val="both"/>
              <w:rPr>
                <w:rFonts w:ascii="宋体" w:hAnsi="宋体" w:eastAsia="宋体" w:cs="宋体"/>
                <w:b/>
                <w:bCs/>
                <w:position w:val="0"/>
                <w:sz w:val="21"/>
                <w:sz w:val="21"/>
                <w:szCs w:val="21"/>
                <w:vertAlign w:val="baseline"/>
                <w:lang w:val="en-US" w:eastAsia="zh-CN"/>
              </w:rPr>
            </w:pPr>
            <w:r>
              <w:rPr>
                <w:rFonts w:eastAsia="宋体"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jc w:val="center"/>
              <w:rPr>
                <w:rFonts w:ascii="宋体" w:hAnsi="宋体" w:cs="宋体"/>
                <w:b/>
                <w:bCs/>
                <w:position w:val="0"/>
                <w:sz w:val="21"/>
                <w:sz w:val="21"/>
                <w:szCs w:val="21"/>
                <w:vertAlign w:val="baseline"/>
                <w:lang w:val="en-US" w:eastAsia="zh-CN"/>
              </w:rPr>
            </w:pPr>
            <w:r>
              <w:rPr>
                <w:rFonts w:cs="宋体" w:ascii="宋体" w:hAnsi="宋体"/>
                <w:b/>
                <w:bCs/>
                <w:position w:val="0"/>
                <w:sz w:val="21"/>
                <w:sz w:val="21"/>
                <w:szCs w:val="21"/>
                <w:vertAlign w:val="baseline"/>
                <w:lang w:val="en-US" w:eastAsia="zh-CN"/>
              </w:rPr>
            </w:r>
          </w:p>
          <w:p>
            <w:pPr>
              <w:pStyle w:val="Normal"/>
              <w:numPr>
                <w:ilvl w:val="0"/>
                <w:numId w:val="0"/>
              </w:numPr>
              <w:spacing w:lineRule="auto" w:line="600"/>
              <w:ind w:hanging="0" w:start="0"/>
              <w:jc w:val="center"/>
              <w:rPr>
                <w:rFonts w:ascii="宋体" w:hAnsi="宋体" w:eastAsia="宋体" w:cs="宋体"/>
                <w:b/>
                <w:bCs/>
                <w:position w:val="0"/>
                <w:sz w:val="21"/>
                <w:sz w:val="21"/>
                <w:szCs w:val="21"/>
                <w:vertAlign w:val="baseline"/>
                <w:lang w:val="en-US" w:eastAsia="zh-CN"/>
              </w:rPr>
            </w:pPr>
            <w:r>
              <w:rPr>
                <w:rFonts w:ascii="宋体" w:hAnsi="宋体" w:cs="宋体"/>
                <w:b/>
                <w:bCs/>
                <w:position w:val="0"/>
                <w:sz w:val="21"/>
                <w:sz w:val="21"/>
                <w:szCs w:val="21"/>
                <w:vertAlign w:val="baseline"/>
                <w:lang w:val="en-US" w:eastAsia="zh-CN"/>
              </w:rPr>
              <w:t>应用场景</w:t>
            </w:r>
          </w:p>
        </w:tc>
        <w:tc>
          <w:tcPr>
            <w:tcW w:w="7189" w:type="dxa"/>
            <w:gridSpan w:val="8"/>
            <w:tcBorders>
              <w:top w:val="single" w:sz="4" w:space="0" w:color="000000"/>
              <w:start w:val="single" w:sz="4" w:space="0" w:color="000000"/>
              <w:bottom w:val="single" w:sz="4" w:space="0" w:color="000000"/>
              <w:end w:val="single" w:sz="4" w:space="0" w:color="000000"/>
            </w:tcBorders>
          </w:tcPr>
          <w:p>
            <w:pPr>
              <w:keepNext/>
              <w:spacing w:before="0" w:after="0" w:lineRule="exact" w:line="440"/>
              <w:ind w:firstLineChars="0" w:firstLine="0"/>
              <w:jc w:val="left"/>
            </w:pPr>
            <w:r>
              <w:rPr>
                <w:rFonts w:ascii="Times New Roman" w:hAnsi="Times New Roman" w:eastAsia="宋体" w:cs="Times New Roman"/>
                <w:b/>
                <w:sz w:val="21"/>
              </w:rPr>
              <w:t>一、典型使用流程</w:t>
            </w:r>
          </w:p>
          <w:p>
            <w:pPr>
              <w:spacing w:before="0" w:after="0" w:lineRule="exact" w:line="440"/>
              <w:ind w:firstLineChars="200" w:firstLine="420"/>
              <w:jc w:val="both"/>
            </w:pPr>
            <w:r>
              <w:rPr>
                <w:rFonts w:ascii="Times New Roman" w:hAnsi="Times New Roman" w:eastAsia="宋体" w:cs="Times New Roman"/>
                <w:b w:val="0"/>
                <w:sz w:val="21"/>
              </w:rPr>
              <w:t>设计团队录入3—5个候选方案的关键参数（或上传方案说明和经济技术指标表）→ 选择决策者角色或自定义权重 → 系统给出合规初筛结果、多维对比看板和比选报告 → 用户通过对话追问、调整方案并实时查看结果变化。</w:t>
            </w:r>
          </w:p>
          <w:p>
            <w:pPr>
              <w:keepNext/>
              <w:spacing w:before="0" w:after="0" w:lineRule="exact" w:line="440"/>
              <w:ind w:firstLineChars="0" w:firstLine="0"/>
              <w:jc w:val="left"/>
            </w:pPr>
            <w:r>
              <w:rPr>
                <w:rFonts w:ascii="Times New Roman" w:hAnsi="Times New Roman" w:eastAsia="宋体" w:cs="Times New Roman"/>
                <w:b/>
                <w:sz w:val="21"/>
              </w:rPr>
              <w:t>二、主要应用场景</w:t>
            </w:r>
          </w:p>
          <w:p>
            <w:pPr>
              <w:spacing w:before="0" w:after="0" w:lineRule="exact" w:line="440"/>
              <w:ind w:firstLineChars="200" w:firstLine="420"/>
              <w:jc w:val="both"/>
            </w:pPr>
            <w:r>
              <w:rPr>
                <w:rFonts w:ascii="Times New Roman" w:hAnsi="Times New Roman" w:eastAsia="宋体" w:cs="Times New Roman"/>
                <w:b w:val="0"/>
                <w:sz w:val="21"/>
              </w:rPr>
              <w:t>（1）设计院与工程总承包单位的方案比选和投标阶段：在概念方案和方案设计阶段快速初筛、量化比较多个方案，为内部评审会提供统一口径的材料，缩短评审准备时间。</w:t>
            </w:r>
          </w:p>
          <w:p>
            <w:pPr>
              <w:spacing w:before="0" w:after="0" w:lineRule="exact" w:line="440"/>
              <w:ind w:firstLineChars="200" w:firstLine="420"/>
              <w:jc w:val="both"/>
            </w:pPr>
            <w:r>
              <w:rPr>
                <w:rFonts w:ascii="Times New Roman" w:hAnsi="Times New Roman" w:eastAsia="宋体" w:cs="Times New Roman"/>
                <w:b w:val="0"/>
                <w:sz w:val="21"/>
              </w:rPr>
              <w:t>（2）保障性住房与城市更新项目：政府部门和保障房平台需要在有限预算内兼顾“好房子”品质、造价和工期；城市更新项目场地受限，对快速交付和减少扰民要求高，系统可辅助评估方案采用装配式或MiC建造的适配度。</w:t>
            </w:r>
          </w:p>
          <w:p>
            <w:pPr>
              <w:spacing w:before="0" w:after="0" w:lineRule="exact" w:line="440"/>
              <w:ind w:firstLineChars="200" w:firstLine="420"/>
              <w:jc w:val="both"/>
            </w:pPr>
            <w:r>
              <w:rPr>
                <w:rFonts w:ascii="Times New Roman" w:hAnsi="Times New Roman" w:eastAsia="宋体" w:cs="Times New Roman"/>
                <w:b w:val="0"/>
                <w:sz w:val="21"/>
              </w:rPr>
              <w:t>（3）装配式与MiC产品化设计：企业可将自身的模块产品规格和构件标准写入规则库，评估方案的标准化程度和模块化潜力，促进“设计—生产—施工”协同。</w:t>
            </w:r>
          </w:p>
          <w:p>
            <w:pPr>
              <w:spacing w:before="0" w:after="0" w:lineRule="exact" w:line="440"/>
              <w:ind w:firstLineChars="200" w:firstLine="420"/>
              <w:jc w:val="both"/>
            </w:pPr>
            <w:r>
              <w:rPr>
                <w:rFonts w:ascii="Times New Roman" w:hAnsi="Times New Roman" w:eastAsia="宋体" w:cs="Times New Roman"/>
                <w:b w:val="0"/>
                <w:sz w:val="21"/>
              </w:rPr>
              <w:t>（4）施工安全前置审查：在方案阶段识别可能导致危大工程或大量高处作业的设计特征（如大跨度悬挑、需要高大模板支撑的高大空间等），提示优化方向，从源头减少施工安全风险和后期设计变更。</w:t>
            </w:r>
          </w:p>
          <w:p>
            <w:pPr>
              <w:spacing w:before="0" w:after="0" w:lineRule="exact" w:line="440"/>
              <w:ind w:firstLineChars="200" w:firstLine="420"/>
              <w:jc w:val="both"/>
            </w:pPr>
            <w:r>
              <w:rPr>
                <w:rFonts w:ascii="Times New Roman" w:hAnsi="Times New Roman" w:eastAsia="宋体" w:cs="Times New Roman"/>
                <w:b w:val="0"/>
                <w:sz w:val="21"/>
              </w:rPr>
              <w:t>（5）知识沉淀与人才培养：把资深工程师的比选经验沉淀为可维护的规则，新员工和学生可以通过对话理解“为什么这个方案更好”；也可用于高校建筑、土木课程设计的辅助评图。</w:t>
            </w:r>
          </w:p>
          <w:p>
            <w:pPr>
              <w:keepNext/>
              <w:spacing w:before="0" w:after="0" w:lineRule="exact" w:line="440"/>
              <w:ind w:firstLineChars="0" w:firstLine="0"/>
              <w:jc w:val="left"/>
            </w:pPr>
            <w:r>
              <w:rPr>
                <w:rFonts w:ascii="Times New Roman" w:hAnsi="Times New Roman" w:eastAsia="宋体" w:cs="Times New Roman"/>
                <w:b/>
                <w:sz w:val="21"/>
              </w:rPr>
              <w:t>三、预期价值</w:t>
            </w:r>
          </w:p>
          <w:p>
            <w:pPr>
              <w:spacing w:before="0" w:after="0" w:lineRule="exact" w:line="440"/>
              <w:ind w:firstLineChars="200" w:firstLine="420"/>
              <w:jc w:val="both"/>
            </w:pPr>
            <w:r>
              <w:rPr>
                <w:rFonts w:ascii="Times New Roman" w:hAnsi="Times New Roman" w:eastAsia="宋体" w:cs="Times New Roman"/>
                <w:b w:val="0"/>
                <w:sz w:val="21"/>
              </w:rPr>
              <w:t>效率上，将多方案初评从依赖多专业人工汇总，缩短为分钟级生成初步报告；质量上，通过统一指标和规范初筛减少遗漏；安全上，把施工风险识别提前到方案阶段；管理上，形成可追溯、可复用的决策记录。上述效果将在初赛前通过测试方案集进行量化验证。</w:t>
            </w:r>
          </w:p>
        </w:tc>
        <w:tc>
          <w:tcPr>
            <w:tcW w:w="470" w:type="dxa"/>
            <w:tcBorders/>
            <w:tcMar>
              <w:start w:w="0" w:type="dxa"/>
              <w:end w:w="0" w:type="dxa"/>
            </w:tcMar>
          </w:tcPr>
          <w:p>
            <w:pPr>
              <w:pStyle w:val="Normal"/>
              <w:snapToGrid w:val="false"/>
              <w:rPr>
                <w:rFonts w:ascii="宋体" w:hAnsi="宋体" w:eastAsia="宋体" w:cs="宋体"/>
                <w:b/>
                <w:bCs/>
                <w:position w:val="0"/>
                <w:sz w:val="32"/>
                <w:sz w:val="32"/>
                <w:szCs w:val="32"/>
                <w:vertAlign w:val="baseline"/>
                <w:lang w:val="en-US" w:eastAsia="zh-CN"/>
              </w:rPr>
            </w:pPr>
            <w:r>
              <w:rPr>
                <w:rFonts w:eastAsia="宋体" w:cs="宋体" w:ascii="宋体" w:hAnsi="宋体"/>
                <w:b/>
                <w:bCs/>
                <w:position w:val="0"/>
                <w:sz w:val="32"/>
                <w:sz w:val="32"/>
                <w:szCs w:val="32"/>
                <w:vertAlign w:val="baseline"/>
                <w:lang w:val="en-US" w:eastAsia="zh-CN"/>
              </w:rPr>
            </w:r>
          </w:p>
        </w:tc>
      </w:tr>
    </w:tbl>
    <w:p>
      <w:pPr>
        <w:pStyle w:val="Normal"/>
        <w:numPr>
          <w:ilvl w:val="0"/>
          <w:numId w:val="0"/>
        </w:numPr>
        <w:spacing w:lineRule="auto" w:line="600"/>
        <w:ind w:hanging="0" w:start="0"/>
        <w:jc w:val="start"/>
        <w:rPr>
          <w:rFonts w:ascii="宋体" w:hAnsi="宋体" w:eastAsia="宋体" w:cs="宋体"/>
          <w:b/>
          <w:bCs/>
          <w:sz w:val="32"/>
          <w:szCs w:val="32"/>
          <w:lang w:val="en-US" w:eastAsia="zh-CN"/>
        </w:rPr>
      </w:pPr>
      <w:r>
        <w:rPr>
          <w:rFonts w:eastAsia="宋体" w:cs="宋体" w:ascii="宋体" w:hAnsi="宋体"/>
          <w:b/>
          <w:bCs/>
          <w:sz w:val="32"/>
          <w:szCs w:val="32"/>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13"/>
  <w:defaultTabStop w:val="42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ar-SA"/>
    </w:rPr>
  </w:style>
  <w:style w:type="paragraph" w:styleId="Heading2">
    <w:name w:val="Heading 2"/>
    <w:basedOn w:val="Normal"/>
    <w:next w:val="Normal"/>
    <w:qFormat/>
    <w:pPr>
      <w:keepNext w:val="true"/>
      <w:keepLines/>
      <w:numPr>
        <w:ilvl w:val="1"/>
        <w:numId w:val="1"/>
      </w:numPr>
      <w:spacing w:lineRule="auto" w:line="412" w:before="260" w:after="260"/>
      <w:outlineLvl w:val="1"/>
    </w:pPr>
    <w:rPr>
      <w:rFonts w:ascii="Arial" w:hAnsi="Arial" w:eastAsia="黑体" w:cs="Arial"/>
      <w:b/>
      <w:sz w:val="32"/>
    </w:rPr>
  </w:style>
  <w:style w:type="character" w:styleId="WW8Num1z0">
    <w:name w:val="WW8Num1z0"/>
    <w:qFormat/>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21120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2026-08-14T03:48:14Z</dcterms:created>
  <dc:creator>hp</dc:creator>
  <dc:description/>
  <dc:language>en-US</dc:language>
  <cp:lastModifiedBy>鹏℡</cp:lastModifiedBy>
  <dcterms:modified xsi:type="dcterms:W3CDTF">2026-09-11T03:34:52Z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736446E028114B1A9EDFC33D5AA753E1_12</vt:lpwstr>
  </property>
  <property fmtid="{D5CDD505-2E9C-101B-9397-08002B2CF9AE}" pid="3" name="KSOProductBuildVer">
    <vt:lpwstr>2052-12.1.0.28043</vt:lpwstr>
  </property>
  <property fmtid="{D5CDD505-2E9C-101B-9397-08002B2CF9AE}" pid="4" name="KSOTemplateDocerSaveRecord">
    <vt:lpwstr>eyJoZGlkIjoiNmE3NzQyMzI3MjcwOWFkY2RlMzIzNzdhYTU1YmZkYTkiLCJ1c2VySWQiOiI0NDAyMTM1ODEifQ==</vt:lpwstr>
  </property>
</Properties>
</file>