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Pr>
      <w:r>
        <w:rPr>
          <w:rFonts w:ascii="Calibri" w:hAnsi="Calibri"/>
          <w:b/>
          <w:color w:val="1A365D"/>
          <w:sz w:val="40"/>
        </w:rPr>
        <w:t>Clove OS: Autonomous AI Operations Infrastructure for a 100-Office Dental DSO Rollup</w:t>
      </w:r>
    </w:p>
    <w:p>
      <w:pPr>
        <w:spacing w:before="0" w:after="80" w:line="276" w:lineRule="auto"/>
      </w:pPr>
      <w:r>
        <w:rPr>
          <w:rFonts w:ascii="Calibri" w:hAnsi="Calibri"/>
          <w:b/>
          <w:color w:val="1E293B"/>
          <w:sz w:val="20"/>
        </w:rPr>
        <w:t>Candidate</w:t>
      </w:r>
      <w:r>
        <w:rPr>
          <w:rFonts w:ascii="Calibri" w:hAnsi="Calibri"/>
          <w:color w:val="1E293B"/>
          <w:sz w:val="20"/>
        </w:rPr>
        <w:t>: Jatin Soni</w:t>
      </w:r>
    </w:p>
    <w:p>
      <w:pPr>
        <w:spacing w:before="0" w:after="80" w:line="276" w:lineRule="auto"/>
      </w:pPr>
      <w:r>
        <w:rPr>
          <w:rFonts w:ascii="Calibri" w:hAnsi="Calibri"/>
          <w:b/>
          <w:color w:val="1E293B"/>
          <w:sz w:val="20"/>
        </w:rPr>
        <w:t>Role</w:t>
      </w:r>
      <w:r>
        <w:rPr>
          <w:rFonts w:ascii="Calibri" w:hAnsi="Calibri"/>
          <w:color w:val="1E293B"/>
          <w:sz w:val="20"/>
        </w:rPr>
        <w:t>: AI Operations Associate — Clove Dental</w:t>
      </w:r>
    </w:p>
    <w:p>
      <w:pPr>
        <w:spacing w:before="0" w:after="80" w:line="276" w:lineRule="auto"/>
      </w:pPr>
      <w:r>
        <w:rPr>
          <w:rFonts w:ascii="Calibri" w:hAnsi="Calibri"/>
          <w:b/>
          <w:color w:val="1E293B"/>
          <w:sz w:val="20"/>
        </w:rPr>
        <w:t>Application Deliverable</w:t>
      </w:r>
      <w:r>
        <w:rPr>
          <w:rFonts w:ascii="Calibri" w:hAnsi="Calibri"/>
          <w:color w:val="1E293B"/>
          <w:sz w:val="20"/>
        </w:rPr>
        <w:t>: Written Case Study &amp; Technical Architecture Document</w:t>
      </w:r>
    </w:p>
    <w:p>
      <w:pPr>
        <w:spacing w:before="0" w:after="80" w:line="276" w:lineRule="auto"/>
      </w:pPr>
      <w:r>
        <w:rPr>
          <w:rFonts w:ascii="Calibri" w:hAnsi="Calibri"/>
          <w:b/>
          <w:color w:val="1E293B"/>
          <w:sz w:val="20"/>
        </w:rPr>
        <w:t>Live Repository</w:t>
      </w:r>
      <w:r>
        <w:rPr>
          <w:rFonts w:ascii="Calibri" w:hAnsi="Calibri"/>
          <w:color w:val="1E293B"/>
          <w:sz w:val="20"/>
        </w:rPr>
        <w:t xml:space="preserve">: </w:t>
      </w:r>
      <w:r>
        <w:rPr>
          <w:rFonts w:ascii="Calibri" w:hAnsi="Calibri"/>
          <w:color w:val="2563EB"/>
          <w:sz w:val="20"/>
          <w:u w:val="single"/>
        </w:rPr>
        <w:t>github.com/Jnsoni75/clove-os (https://github.com/Jnsoni75/clove-os)</w:t>
      </w:r>
    </w:p>
    <w:p>
      <w:pPr>
        <w:spacing w:before="0" w:after="80" w:line="276" w:lineRule="auto"/>
      </w:pPr>
      <w:r>
        <w:rPr>
          <w:rFonts w:ascii="Calibri" w:hAnsi="Calibri"/>
          <w:b/>
          <w:color w:val="1E293B"/>
          <w:sz w:val="20"/>
        </w:rPr>
        <w:t>Live Production Deployment</w:t>
      </w:r>
      <w:r>
        <w:rPr>
          <w:rFonts w:ascii="Calibri" w:hAnsi="Calibri"/>
          <w:color w:val="1E293B"/>
          <w:sz w:val="20"/>
        </w:rPr>
        <w:t xml:space="preserve">: </w:t>
      </w:r>
      <w:r>
        <w:rPr>
          <w:rFonts w:ascii="Calibri" w:hAnsi="Calibri"/>
          <w:color w:val="2563EB"/>
          <w:sz w:val="20"/>
          <w:u w:val="single"/>
        </w:rPr>
        <w:t>https://clove-os.streamlit.app/ (https://clove-os.streamlit.app/)</w:t>
      </w:r>
    </w:p>
    <w:p>
      <w:pPr>
        <w:spacing w:before="120" w:after="160"/>
        <w:pBdr>
          <w:bottom w:val="single" w:sz="6" w:space="1" w:color="CBD5E1"/>
        </w:pBdr>
      </w:pPr>
    </w:p>
    <w:p>
      <w:pPr>
        <w:keepNext/>
        <w:spacing w:before="280" w:after="60"/>
      </w:pPr>
      <w:r>
        <w:rPr>
          <w:rFonts w:ascii="Calibri" w:hAnsi="Calibri"/>
          <w:b/>
          <w:color w:val="1A365D"/>
          <w:sz w:val="28"/>
        </w:rPr>
        <w:t>Executive Summary</w:t>
      </w:r>
    </w:p>
    <w:p>
      <w:pPr>
        <w:spacing w:before="0" w:after="80" w:line="276" w:lineRule="auto"/>
      </w:pPr>
      <w:r>
        <w:rPr>
          <w:rFonts w:ascii="Calibri" w:hAnsi="Calibri"/>
          <w:color w:val="1E293B"/>
          <w:sz w:val="20"/>
        </w:rPr>
        <w:t>As a dental support organization (DSO) scales from 10 to 100 offices, back-office operational costs scale linearly or super-linearly if managed with traditional human workflows. Revenue Cycle Management (RCM) claim denials, operatory staffing imbalances, and M&amp;A practice pipeline triage become severe bottlenecks that compress clinic EBITDA.</w:t>
      </w:r>
    </w:p>
    <w:p>
      <w:pPr>
        <w:spacing w:before="0" w:after="80" w:line="276" w:lineRule="auto"/>
      </w:pPr>
      <w:r>
        <w:rPr>
          <w:rFonts w:ascii="Calibri" w:hAnsi="Calibri"/>
          <w:color w:val="1E293B"/>
          <w:sz w:val="20"/>
        </w:rPr>
        <w:t>Ad-hoc Perplexity queries or generic ChatGPT wrappers cannot solve this problem: they lack EHR integrations, hallucinate clinical facts, cite invalid legal statutes, violate HIPAA data-handling standards, and burn millions of tokens generating unnecessary essays for operational denials.</w:t>
      </w:r>
    </w:p>
    <w:p>
      <w:pPr>
        <w:spacing w:before="0" w:after="80" w:line="276" w:lineRule="auto"/>
      </w:pPr>
      <w:r>
        <w:rPr>
          <w:rFonts w:ascii="Calibri" w:hAnsi="Calibri"/>
          <w:b/>
          <w:color w:val="1E293B"/>
          <w:sz w:val="20"/>
        </w:rPr>
        <w:t>Clove OS</w:t>
      </w:r>
      <w:r>
        <w:rPr>
          <w:rFonts w:ascii="Calibri" w:hAnsi="Calibri"/>
          <w:color w:val="1E293B"/>
          <w:sz w:val="20"/>
        </w:rPr>
        <w:t xml:space="preserve"> is a persistent, deterministic, and HIPAA-hardened AI operations infrastructure engineered specifically for Clove Dental. Across 100 dental clinics, it automates:</w:t>
      </w:r>
    </w:p>
    <w:p>
      <w:pPr>
        <w:pStyle w:val="ListNumber"/>
        <w:spacing w:before="40" w:after="40"/>
      </w:pPr>
      <w:r>
        <w:rPr>
          <w:rFonts w:ascii="Calibri" w:hAnsi="Calibri"/>
          <w:b/>
          <w:color w:val="1E293B"/>
          <w:sz w:val="20"/>
        </w:rPr>
        <w:t>Autonomous RCM Denial Resolution</w:t>
      </w:r>
      <w:r>
        <w:rPr>
          <w:rFonts w:ascii="Calibri" w:hAnsi="Calibri"/>
          <w:color w:val="1E293B"/>
          <w:sz w:val="20"/>
        </w:rPr>
        <w:t>: Triages CARC/RARC codes, extracts contemporaneous clinical charting from Open Dental, de-identifies PHI, performs lexical BM25 retrieval over CDT clinical policies, drafts plan-specific appeals, and adversarially verifies every claim prior to human-in-the-loop (HITL) approval.</w:t>
      </w:r>
    </w:p>
    <w:p>
      <w:pPr>
        <w:pStyle w:val="ListNumber"/>
        <w:spacing w:before="40" w:after="40"/>
      </w:pPr>
      <w:r>
        <w:rPr>
          <w:rFonts w:ascii="Calibri" w:hAnsi="Calibri"/>
          <w:b/>
          <w:color w:val="1E293B"/>
          <w:sz w:val="20"/>
        </w:rPr>
        <w:t>Frontier Token Optimization</w:t>
      </w:r>
      <w:r>
        <w:rPr>
          <w:rFonts w:ascii="Calibri" w:hAnsi="Calibri"/>
          <w:color w:val="1E293B"/>
          <w:sz w:val="20"/>
        </w:rPr>
        <w:t xml:space="preserve">: Implements Anthropic 5-minute ephemeral prefix caching and 0-token routing for missing attachments, driving LLM input costs down by </w:t>
      </w:r>
      <w:r>
        <w:rPr>
          <w:rFonts w:ascii="Calibri" w:hAnsi="Calibri"/>
          <w:b/>
          <w:color w:val="1E293B"/>
          <w:sz w:val="20"/>
        </w:rPr>
        <w:t>90%</w:t>
      </w:r>
      <w:r>
        <w:rPr>
          <w:rFonts w:ascii="Calibri" w:hAnsi="Calibri"/>
          <w:color w:val="1E293B"/>
          <w:sz w:val="20"/>
        </w:rPr>
        <w:t xml:space="preserve"> with a break-even threshold on the </w:t>
      </w:r>
      <w:r>
        <w:rPr>
          <w:rFonts w:ascii="Calibri" w:hAnsi="Calibri"/>
          <w:b/>
          <w:color w:val="1E293B"/>
          <w:sz w:val="20"/>
        </w:rPr>
        <w:t>very first read</w:t>
      </w:r>
      <w:r>
        <w:rPr>
          <w:rFonts w:ascii="Calibri" w:hAnsi="Calibri"/>
          <w:color w:val="1E293B"/>
          <w:sz w:val="20"/>
        </w:rPr>
        <w:t>.</w:t>
      </w:r>
    </w:p>
    <w:p>
      <w:pPr>
        <w:pStyle w:val="ListNumber"/>
        <w:spacing w:before="40" w:after="40"/>
      </w:pPr>
      <w:r>
        <w:rPr>
          <w:rFonts w:ascii="Calibri" w:hAnsi="Calibri"/>
          <w:b/>
          <w:color w:val="1E293B"/>
          <w:sz w:val="20"/>
        </w:rPr>
        <w:t>FLSA-Compliant Dynamic Staffing (Deputy)</w:t>
      </w:r>
      <w:r>
        <w:rPr>
          <w:rFonts w:ascii="Calibri" w:hAnsi="Calibri"/>
          <w:color w:val="1E293B"/>
          <w:sz w:val="20"/>
        </w:rPr>
        <w:t>: Balances operatory chair demand across clinics while strictly excluding exempt salaried dentists from 40-hour overtime calculations.</w:t>
      </w:r>
    </w:p>
    <w:p>
      <w:pPr>
        <w:pStyle w:val="ListNumber"/>
        <w:spacing w:before="40" w:after="40"/>
      </w:pPr>
      <w:r>
        <w:rPr>
          <w:rFonts w:ascii="Calibri" w:hAnsi="Calibri"/>
          <w:b/>
          <w:color w:val="1E293B"/>
          <w:sz w:val="20"/>
        </w:rPr>
        <w:t>M&amp;A Fit Scoring (Zoho CRM)</w:t>
      </w:r>
      <w:r>
        <w:rPr>
          <w:rFonts w:ascii="Calibri" w:hAnsi="Calibri"/>
          <w:color w:val="1E293B"/>
          <w:sz w:val="20"/>
        </w:rPr>
        <w:t>: Computes deterministic acquisition synergy scores across EBITDA multiples, local dentist density, and chair capacity.</w:t>
      </w:r>
    </w:p>
    <w:p>
      <w:pPr>
        <w:spacing w:before="120" w:after="160"/>
        <w:pBdr>
          <w:bottom w:val="single" w:sz="6" w:space="1" w:color="CBD5E1"/>
        </w:pBdr>
      </w:pPr>
    </w:p>
    <w:p>
      <w:pPr>
        <w:keepNext/>
        <w:spacing w:before="280" w:after="60"/>
      </w:pPr>
      <w:r>
        <w:rPr>
          <w:rFonts w:ascii="Calibri" w:hAnsi="Calibri"/>
          <w:b/>
          <w:color w:val="1A365D"/>
          <w:sz w:val="28"/>
        </w:rPr>
        <w:t>1. What the Problem Was</w:t>
      </w:r>
    </w:p>
    <w:p>
      <w:pPr>
        <w:keepNext/>
        <w:spacing w:before="200" w:after="40"/>
      </w:pPr>
      <w:r>
        <w:rPr>
          <w:rFonts w:ascii="Calibri" w:hAnsi="Calibri"/>
          <w:b/>
          <w:color w:val="0D9488"/>
          <w:sz w:val="24"/>
        </w:rPr>
        <w:t>1.1 The Operational Bottleneck of a 100-Office DSO</w:t>
      </w:r>
    </w:p>
    <w:p>
      <w:pPr>
        <w:spacing w:before="0" w:after="80" w:line="276" w:lineRule="auto"/>
      </w:pPr>
      <w:r>
        <w:rPr>
          <w:rFonts w:ascii="Calibri" w:hAnsi="Calibri"/>
          <w:color w:val="1E293B"/>
          <w:sz w:val="20"/>
        </w:rPr>
        <w:t xml:space="preserve">At 100 offices, Clove Dental generates approximately </w:t>
      </w:r>
      <w:r>
        <w:rPr>
          <w:rFonts w:ascii="Calibri" w:hAnsi="Calibri"/>
          <w:b/>
          <w:color w:val="1E293B"/>
          <w:sz w:val="20"/>
        </w:rPr>
        <w:t>15,000 to 20,000 commercial and self-funded insurance claims per month</w:t>
      </w:r>
      <w:r>
        <w:rPr>
          <w:rFonts w:ascii="Calibri" w:hAnsi="Calibri"/>
          <w:color w:val="1E293B"/>
          <w:sz w:val="20"/>
        </w:rPr>
        <w:t xml:space="preserve">. In dental healthcare, initial denial rates across commercial payers (Delta Dental, MetLife, Cigna, Guardian) average </w:t>
      </w:r>
      <w:r>
        <w:rPr>
          <w:rFonts w:ascii="Calibri" w:hAnsi="Calibri"/>
          <w:b/>
          <w:color w:val="1E293B"/>
          <w:sz w:val="20"/>
        </w:rPr>
        <w:t>8% to 12%</w:t>
      </w:r>
      <w:r>
        <w:rPr>
          <w:rFonts w:ascii="Calibri" w:hAnsi="Calibri"/>
          <w:color w:val="1E293B"/>
          <w:sz w:val="20"/>
        </w:rPr>
        <w:t xml:space="preserve">, resulting in </w:t>
      </w:r>
      <w:r>
        <w:rPr>
          <w:rFonts w:ascii="Calibri" w:hAnsi="Calibri"/>
          <w:b/>
          <w:color w:val="1E293B"/>
          <w:sz w:val="20"/>
        </w:rPr>
        <w:t>1,200 to 2,400 denied claims monthly</w:t>
      </w:r>
      <w:r>
        <w:rPr>
          <w:rFonts w:ascii="Calibri" w:hAnsi="Calibri"/>
          <w:color w:val="1E293B"/>
          <w:sz w:val="20"/>
        </w:rPr>
        <w:t>:</w:t>
      </w:r>
    </w:p>
    <w:p>
      <w:pPr>
        <w:pStyle w:val="ListBullet"/>
        <w:spacing w:before="20" w:after="40"/>
      </w:pPr>
      <w:r>
        <w:rPr>
          <w:rFonts w:ascii="Calibri" w:hAnsi="Calibri"/>
          <w:b/>
          <w:color w:val="1E293B"/>
          <w:sz w:val="20"/>
        </w:rPr>
        <w:t>Trapped Cash Flow</w:t>
      </w:r>
      <w:r>
        <w:rPr>
          <w:rFonts w:ascii="Calibri" w:hAnsi="Calibri"/>
          <w:color w:val="1E293B"/>
          <w:sz w:val="20"/>
        </w:rPr>
        <w:t xml:space="preserve">: Over </w:t>
      </w:r>
      <w:r>
        <w:rPr>
          <w:rFonts w:ascii="Calibri" w:hAnsi="Calibri"/>
          <w:b/>
          <w:color w:val="1E293B"/>
          <w:sz w:val="20"/>
        </w:rPr>
        <w:t>$350,000 in monthly collections</w:t>
      </w:r>
      <w:r>
        <w:rPr>
          <w:rFonts w:ascii="Calibri" w:hAnsi="Calibri"/>
          <w:color w:val="1E293B"/>
          <w:sz w:val="20"/>
        </w:rPr>
        <w:t xml:space="preserve"> is delayed in aging Accounts Receivable (A/R &gt; 60 days).</w:t>
      </w:r>
    </w:p>
    <w:p>
      <w:pPr>
        <w:pStyle w:val="ListBullet"/>
        <w:spacing w:before="20" w:after="40"/>
      </w:pPr>
      <w:r>
        <w:rPr>
          <w:rFonts w:ascii="Calibri" w:hAnsi="Calibri"/>
          <w:b/>
          <w:color w:val="1E293B"/>
          <w:sz w:val="20"/>
        </w:rPr>
        <w:t>Labor Intensity</w:t>
      </w:r>
      <w:r>
        <w:rPr>
          <w:rFonts w:ascii="Calibri" w:hAnsi="Calibri"/>
          <w:color w:val="1E293B"/>
          <w:sz w:val="20"/>
        </w:rPr>
        <w:t xml:space="preserve">: A billing coordinator spends </w:t>
      </w:r>
      <w:r>
        <w:rPr>
          <w:rFonts w:ascii="Calibri" w:hAnsi="Calibri"/>
          <w:b/>
          <w:color w:val="1E293B"/>
          <w:sz w:val="20"/>
        </w:rPr>
        <w:t>25 to 45 minutes per claim</w:t>
      </w:r>
      <w:r>
        <w:rPr>
          <w:rFonts w:ascii="Calibri" w:hAnsi="Calibri"/>
          <w:color w:val="1E293B"/>
          <w:sz w:val="20"/>
        </w:rPr>
        <w:t xml:space="preserve"> navigating Open Dental, pulling x-rays, checking payer policy manuals, drafting appeal letters, and mailing or portal-uploading them.</w:t>
      </w:r>
    </w:p>
    <w:p>
      <w:pPr>
        <w:pStyle w:val="ListBullet"/>
        <w:spacing w:before="20" w:after="40"/>
      </w:pPr>
      <w:r>
        <w:rPr>
          <w:rFonts w:ascii="Calibri" w:hAnsi="Calibri"/>
          <w:b/>
          <w:color w:val="1E293B"/>
          <w:sz w:val="20"/>
        </w:rPr>
        <w:t>Human Attrition &amp; Margin Compression</w:t>
      </w:r>
      <w:r>
        <w:rPr>
          <w:rFonts w:ascii="Calibri" w:hAnsi="Calibri"/>
          <w:color w:val="1E293B"/>
          <w:sz w:val="20"/>
        </w:rPr>
        <w:t>: Handling this volume requires a dedicated back-office team of 8 to 12 billing coordinators, adding $600k+ in annual overhead.</w:t>
      </w:r>
    </w:p>
    <w:p>
      <w:pPr>
        <w:keepNext/>
        <w:spacing w:before="200" w:after="40"/>
      </w:pPr>
      <w:r>
        <w:rPr>
          <w:rFonts w:ascii="Calibri" w:hAnsi="Calibri"/>
          <w:b/>
          <w:color w:val="0D9488"/>
          <w:sz w:val="24"/>
        </w:rPr>
        <w:t>1.2 Why Naive AI Approaches Fail in Healthcare Operations</w:t>
      </w:r>
    </w:p>
    <w:p>
      <w:pPr>
        <w:spacing w:before="0" w:after="80" w:line="276" w:lineRule="auto"/>
      </w:pPr>
      <w:r>
        <w:rPr>
          <w:rFonts w:ascii="Calibri" w:hAnsi="Calibri"/>
          <w:color w:val="1E293B"/>
          <w:sz w:val="20"/>
        </w:rPr>
        <w:t>Generic LLM wrappers and ad-hoc chat queries fail in production due to five fatal operational failure modes:</w:t>
      </w:r>
    </w:p>
    <w:p>
      <w:pPr>
        <w:pStyle w:val="ListNumber"/>
        <w:spacing w:before="40" w:after="40"/>
      </w:pPr>
      <w:r>
        <w:rPr>
          <w:rFonts w:ascii="Calibri" w:hAnsi="Calibri"/>
          <w:b/>
          <w:color w:val="1E293B"/>
          <w:sz w:val="20"/>
        </w:rPr>
        <w:t>Unchecked Medical Hallucinations</w:t>
      </w:r>
      <w:r>
        <w:rPr>
          <w:rFonts w:ascii="Calibri" w:hAnsi="Calibri"/>
          <w:color w:val="1E293B"/>
          <w:sz w:val="20"/>
        </w:rPr>
        <w:t>: Standard LLMs invent clinical observations (e.g., claiming "radiograph exhibits recurrent decay under the distal margin" when the clinical chart only noted "minor attrition"). Payer medical directors identify these instantly and uphold denials for fraud.</w:t>
      </w:r>
    </w:p>
    <w:p>
      <w:pPr>
        <w:pStyle w:val="ListNumber"/>
        <w:spacing w:before="40" w:after="40"/>
      </w:pPr>
      <w:r>
        <w:rPr>
          <w:rFonts w:ascii="Calibri" w:hAnsi="Calibri"/>
          <w:b/>
          <w:color w:val="1E293B"/>
          <w:sz w:val="20"/>
        </w:rPr>
        <w:t>Regulatory Citation Mismatches</w:t>
      </w:r>
      <w:r>
        <w:rPr>
          <w:rFonts w:ascii="Calibri" w:hAnsi="Calibri"/>
          <w:color w:val="1E293B"/>
          <w:sz w:val="20"/>
        </w:rPr>
        <w:t xml:space="preserve">: Naive models cite federal </w:t>
      </w:r>
      <w:r>
        <w:rPr>
          <w:rFonts w:ascii="Calibri" w:hAnsi="Calibri"/>
          <w:b/>
          <w:color w:val="1E293B"/>
          <w:sz w:val="20"/>
        </w:rPr>
        <w:t>ERISA Section 503 (29 U.S.C. Section 1133)</w:t>
      </w:r>
      <w:r>
        <w:rPr>
          <w:rFonts w:ascii="Calibri" w:hAnsi="Calibri"/>
          <w:color w:val="1E293B"/>
          <w:sz w:val="20"/>
        </w:rPr>
        <w:t xml:space="preserve"> on state-regulated fully-insured commercial plans or Medicaid plans, where ERISA has zero legal jurisdiction.</w:t>
      </w:r>
    </w:p>
    <w:p>
      <w:pPr>
        <w:pStyle w:val="ListNumber"/>
        <w:spacing w:before="40" w:after="40"/>
      </w:pPr>
      <w:r>
        <w:rPr>
          <w:rFonts w:ascii="Calibri" w:hAnsi="Calibri"/>
          <w:b/>
          <w:color w:val="1E293B"/>
          <w:sz w:val="20"/>
        </w:rPr>
        <w:t>Financial Demand Errors</w:t>
      </w:r>
      <w:r>
        <w:rPr>
          <w:rFonts w:ascii="Calibri" w:hAnsi="Calibri"/>
          <w:color w:val="1E293B"/>
          <w:sz w:val="20"/>
        </w:rPr>
        <w:t xml:space="preserve">: Generic prompts demand the full, undiscounted </w:t>
      </w:r>
      <w:r>
        <w:rPr>
          <w:rFonts w:ascii="Calibri" w:hAnsi="Calibri"/>
          <w:b/>
          <w:color w:val="1E293B"/>
          <w:sz w:val="20"/>
        </w:rPr>
        <w:t>billed fee</w:t>
      </w:r>
      <w:r>
        <w:rPr>
          <w:rFonts w:ascii="Calibri" w:hAnsi="Calibri"/>
          <w:color w:val="1E293B"/>
          <w:sz w:val="20"/>
        </w:rPr>
        <w:t xml:space="preserve"> rather than the contractual </w:t>
      </w:r>
      <w:r>
        <w:rPr>
          <w:rFonts w:ascii="Calibri" w:hAnsi="Calibri"/>
          <w:b/>
          <w:color w:val="1E293B"/>
          <w:sz w:val="20"/>
        </w:rPr>
        <w:t>in-network allowed fee</w:t>
      </w:r>
      <w:r>
        <w:rPr>
          <w:rFonts w:ascii="Calibri" w:hAnsi="Calibri"/>
          <w:color w:val="1E293B"/>
          <w:sz w:val="20"/>
        </w:rPr>
        <w:t>, causing claims examiners to reject appeals on procedural grounds.</w:t>
      </w:r>
    </w:p>
    <w:p>
      <w:pPr>
        <w:pStyle w:val="ListNumber"/>
        <w:spacing w:before="40" w:after="40"/>
      </w:pPr>
      <w:r>
        <w:rPr>
          <w:rFonts w:ascii="Calibri" w:hAnsi="Calibri"/>
          <w:b/>
          <w:color w:val="1E293B"/>
          <w:sz w:val="20"/>
        </w:rPr>
        <w:t>Token Cost Waste on Missing Attachments (CARC `CO-16`)</w:t>
      </w:r>
      <w:r>
        <w:rPr>
          <w:rFonts w:ascii="Calibri" w:hAnsi="Calibri"/>
          <w:color w:val="1E293B"/>
          <w:sz w:val="20"/>
        </w:rPr>
        <w:t xml:space="preserve">: Over 30% of dental denials are </w:t>
      </w:r>
      <w:r>
        <w:rPr>
          <w:rFonts w:ascii="Consolas" w:hAnsi="Consolas"/>
          <w:color w:val="B45309"/>
          <w:sz w:val="18"/>
        </w:rPr>
        <w:t>CO-16</w:t>
      </w:r>
      <w:r>
        <w:rPr>
          <w:rFonts w:ascii="Calibri" w:hAnsi="Calibri"/>
          <w:color w:val="1E293B"/>
          <w:sz w:val="20"/>
        </w:rPr>
        <w:t xml:space="preserve"> ("lacking required documentation"—typically a periapical x-ray or periodontal charting). Naive AI systems spend 2,000 tokens drafting elaborate legal appeals when all the payer requires is the attachment.</w:t>
      </w:r>
    </w:p>
    <w:p>
      <w:pPr>
        <w:pStyle w:val="ListNumber"/>
        <w:spacing w:before="40" w:after="40"/>
      </w:pPr>
      <w:r>
        <w:rPr>
          <w:rFonts w:ascii="Calibri" w:hAnsi="Calibri"/>
          <w:b/>
          <w:color w:val="1E293B"/>
          <w:sz w:val="20"/>
        </w:rPr>
        <w:t>HIPAA &amp; Privacy Vulnerabilities</w:t>
      </w:r>
      <w:r>
        <w:rPr>
          <w:rFonts w:ascii="Calibri" w:hAnsi="Calibri"/>
          <w:color w:val="1E293B"/>
          <w:sz w:val="20"/>
        </w:rPr>
        <w:t>: Sending raw patient names, MRNs, dates of birth, and provider IDs to external LLMs violates HIPAA Safe Harbor and risks severe regulatory penalties.</w:t>
      </w:r>
    </w:p>
    <w:p>
      <w:pPr>
        <w:spacing w:before="120" w:after="160"/>
        <w:pBdr>
          <w:bottom w:val="single" w:sz="6" w:space="1" w:color="CBD5E1"/>
        </w:pBdr>
      </w:pPr>
    </w:p>
    <w:p>
      <w:pPr>
        <w:keepNext/>
        <w:spacing w:before="280" w:after="60"/>
      </w:pPr>
      <w:r>
        <w:rPr>
          <w:rFonts w:ascii="Calibri" w:hAnsi="Calibri"/>
          <w:b/>
          <w:color w:val="1A365D"/>
          <w:sz w:val="28"/>
        </w:rPr>
        <w:t>2. How the System Was Scoped</w:t>
      </w:r>
    </w:p>
    <w:p>
      <w:pPr>
        <w:spacing w:before="0" w:after="80" w:line="276" w:lineRule="auto"/>
      </w:pPr>
      <w:r>
        <w:rPr>
          <w:rFonts w:ascii="Calibri" w:hAnsi="Calibri"/>
          <w:color w:val="1E293B"/>
          <w:sz w:val="20"/>
        </w:rPr>
        <w:t>After studying the existing Clove OS prototype (</w:t>
      </w:r>
      <w:r>
        <w:rPr>
          <w:rFonts w:ascii="Consolas" w:hAnsi="Consolas"/>
          <w:color w:val="B45309"/>
          <w:sz w:val="18"/>
        </w:rPr>
        <w:t>clove-os-production.up.railway.app</w:t>
      </w:r>
      <w:r>
        <w:rPr>
          <w:rFonts w:ascii="Calibri" w:hAnsi="Calibri"/>
          <w:color w:val="1E293B"/>
          <w:sz w:val="20"/>
        </w:rPr>
        <w:t xml:space="preserve">), I architected </w:t>
      </w:r>
      <w:r>
        <w:rPr>
          <w:rFonts w:ascii="Calibri" w:hAnsi="Calibri"/>
          <w:b/>
          <w:color w:val="1E293B"/>
          <w:sz w:val="20"/>
        </w:rPr>
        <w:t>Clove 2.0</w:t>
      </w:r>
      <w:r>
        <w:rPr>
          <w:rFonts w:ascii="Calibri" w:hAnsi="Calibri"/>
          <w:color w:val="1E293B"/>
          <w:sz w:val="20"/>
        </w:rPr>
        <w:t xml:space="preserve"> to transform the application from a proof-of-concept into a verifiable, audit-ready operational operating system.</w:t>
      </w:r>
    </w:p>
    <w:p>
      <w:pPr>
        <w:keepNext/>
        <w:spacing w:before="200" w:after="40"/>
      </w:pPr>
      <w:r>
        <w:rPr>
          <w:rFonts w:ascii="Calibri" w:hAnsi="Calibri"/>
          <w:b/>
          <w:color w:val="0D9488"/>
          <w:sz w:val="24"/>
        </w:rPr>
        <w:t>Scope &amp; Architecture Matrix</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412"/>
        <w:gridCol w:w="2412"/>
        <w:gridCol w:w="2412"/>
        <w:gridCol w:w="2412"/>
      </w:tblGrid>
      <w:tr>
        <w:tc>
          <w:tcPr>
            <w:tcW w:type="dxa" w:w="2412"/>
            <w:tcMar>
              <w:top w:w="100" w:type="dxa"/>
              <w:bottom w:w="100" w:type="dxa"/>
              <w:left w:w="140" w:type="dxa"/>
              <w:right w:w="140" w:type="dxa"/>
            </w:tcMar>
            <w:shd w:fill="1E3A8A"/>
          </w:tcPr>
          <w:p>
            <w:pPr>
              <w:spacing w:before="40" w:after="40"/>
              <w:jc w:val="left"/>
            </w:pPr>
            <w:r>
              <w:rPr>
                <w:rFonts w:ascii="Calibri" w:hAnsi="Calibri"/>
                <w:b/>
                <w:color w:val="FFFFFF"/>
                <w:sz w:val="19"/>
              </w:rPr>
              <w:t>Dimension</w:t>
            </w:r>
          </w:p>
        </w:tc>
        <w:tc>
          <w:tcPr>
            <w:tcW w:type="dxa" w:w="2412"/>
            <w:tcMar>
              <w:top w:w="100" w:type="dxa"/>
              <w:bottom w:w="100" w:type="dxa"/>
              <w:left w:w="140" w:type="dxa"/>
              <w:right w:w="140" w:type="dxa"/>
            </w:tcMar>
            <w:shd w:fill="1E3A8A"/>
          </w:tcPr>
          <w:p>
            <w:pPr>
              <w:spacing w:before="40" w:after="40"/>
              <w:jc w:val="left"/>
            </w:pPr>
            <w:r>
              <w:rPr>
                <w:rFonts w:ascii="Calibri" w:hAnsi="Calibri"/>
                <w:b/>
                <w:color w:val="FFFFFF"/>
                <w:sz w:val="19"/>
              </w:rPr>
              <w:t>Legacy Clove OS Baseline</w:t>
            </w:r>
          </w:p>
        </w:tc>
        <w:tc>
          <w:tcPr>
            <w:tcW w:type="dxa" w:w="2412"/>
            <w:tcMar>
              <w:top w:w="100" w:type="dxa"/>
              <w:bottom w:w="100" w:type="dxa"/>
              <w:left w:w="140" w:type="dxa"/>
              <w:right w:w="140" w:type="dxa"/>
            </w:tcMar>
            <w:shd w:fill="1E3A8A"/>
          </w:tcPr>
          <w:p>
            <w:pPr>
              <w:spacing w:before="40" w:after="40"/>
              <w:jc w:val="left"/>
            </w:pPr>
            <w:r>
              <w:rPr>
                <w:rFonts w:ascii="Calibri" w:hAnsi="Calibri"/>
                <w:b/>
                <w:color w:val="FFFFFF"/>
                <w:sz w:val="19"/>
              </w:rPr>
              <w:t>Clove 2.0 Production Architecture</w:t>
            </w:r>
          </w:p>
        </w:tc>
        <w:tc>
          <w:tcPr>
            <w:tcW w:type="dxa" w:w="2412"/>
            <w:tcMar>
              <w:top w:w="100" w:type="dxa"/>
              <w:bottom w:w="100" w:type="dxa"/>
              <w:left w:w="140" w:type="dxa"/>
              <w:right w:w="140" w:type="dxa"/>
            </w:tcMar>
            <w:shd w:fill="1E3A8A"/>
          </w:tcPr>
          <w:p>
            <w:pPr>
              <w:spacing w:before="40" w:after="40"/>
              <w:jc w:val="left"/>
            </w:pPr>
            <w:r>
              <w:rPr>
                <w:rFonts w:ascii="Calibri" w:hAnsi="Calibri"/>
                <w:b/>
                <w:color w:val="FFFFFF"/>
                <w:sz w:val="19"/>
              </w:rPr>
              <w:t>Operational Impact</w:t>
            </w:r>
          </w:p>
        </w:tc>
      </w:tr>
      <w:tr>
        <w:tc>
          <w:tcPr>
            <w:tcW w:type="dxa" w:w="2412"/>
            <w:tcMar>
              <w:top w:w="100" w:type="dxa"/>
              <w:bottom w:w="100" w:type="dxa"/>
              <w:left w:w="140" w:type="dxa"/>
              <w:right w:w="140" w:type="dxa"/>
            </w:tcMar>
            <w:shd w:fill="F8FAFC"/>
          </w:tcPr>
          <w:p>
            <w:pPr>
              <w:spacing w:before="40" w:after="40"/>
            </w:pPr>
            <w:r>
              <w:rPr>
                <w:rFonts w:ascii="Calibri" w:hAnsi="Calibri"/>
                <w:b/>
                <w:color w:val="1E293B"/>
                <w:sz w:val="18"/>
              </w:rPr>
              <w:t>Orchestration</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Linear script / Ad-hoc routing</w:t>
            </w:r>
          </w:p>
        </w:tc>
        <w:tc>
          <w:tcPr>
            <w:tcW w:type="dxa" w:w="2412"/>
            <w:tcMar>
              <w:top w:w="100" w:type="dxa"/>
              <w:bottom w:w="100" w:type="dxa"/>
              <w:left w:w="140" w:type="dxa"/>
              <w:right w:w="140" w:type="dxa"/>
            </w:tcMar>
            <w:shd w:fill="F8FAFC"/>
          </w:tcPr>
          <w:p>
            <w:pPr>
              <w:spacing w:before="40" w:after="40"/>
            </w:pPr>
            <w:r>
              <w:rPr>
                <w:rFonts w:ascii="Calibri" w:hAnsi="Calibri"/>
                <w:b/>
                <w:color w:val="1E293B"/>
                <w:sz w:val="18"/>
              </w:rPr>
              <w:t>LangGraph StateGraph</w:t>
            </w:r>
            <w:r>
              <w:rPr>
                <w:rFonts w:ascii="Calibri" w:hAnsi="Calibri"/>
                <w:color w:val="1E293B"/>
                <w:sz w:val="18"/>
              </w:rPr>
              <w:t xml:space="preserve"> with conditional checkpointing</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Deterministic execution &amp; auditable HITL pause/resume</w:t>
            </w:r>
          </w:p>
        </w:tc>
      </w:tr>
      <w:tr>
        <w:tc>
          <w:tcPr>
            <w:tcW w:type="dxa" w:w="2412"/>
            <w:tcMar>
              <w:top w:w="100" w:type="dxa"/>
              <w:bottom w:w="100" w:type="dxa"/>
              <w:left w:w="140" w:type="dxa"/>
              <w:right w:w="140" w:type="dxa"/>
            </w:tcMar>
            <w:shd w:fill="FFFFFF"/>
          </w:tcPr>
          <w:p>
            <w:pPr>
              <w:spacing w:before="40" w:after="40"/>
            </w:pPr>
            <w:r>
              <w:rPr>
                <w:rFonts w:ascii="Calibri" w:hAnsi="Calibri"/>
                <w:b/>
                <w:color w:val="1E293B"/>
                <w:sz w:val="18"/>
              </w:rPr>
              <w:t>Denial Triage</w:t>
            </w:r>
          </w:p>
        </w:tc>
        <w:tc>
          <w:tcPr>
            <w:tcW w:type="dxa" w:w="2412"/>
            <w:tcMar>
              <w:top w:w="100" w:type="dxa"/>
              <w:bottom w:w="100" w:type="dxa"/>
              <w:left w:w="140" w:type="dxa"/>
              <w:right w:w="140" w:type="dxa"/>
            </w:tcMar>
            <w:shd w:fill="FFFFFF"/>
          </w:tcPr>
          <w:p>
            <w:pPr>
              <w:spacing w:before="40" w:after="40"/>
            </w:pPr>
            <w:r>
              <w:rPr>
                <w:rFonts w:ascii="Calibri" w:hAnsi="Calibri"/>
                <w:color w:val="1E293B"/>
                <w:sz w:val="18"/>
              </w:rPr>
              <w:t>All claims sent to LLM</w:t>
            </w:r>
          </w:p>
        </w:tc>
        <w:tc>
          <w:tcPr>
            <w:tcW w:type="dxa" w:w="2412"/>
            <w:tcMar>
              <w:top w:w="100" w:type="dxa"/>
              <w:bottom w:w="100" w:type="dxa"/>
              <w:left w:w="140" w:type="dxa"/>
              <w:right w:w="140" w:type="dxa"/>
            </w:tcMar>
            <w:shd w:fill="FFFFFF"/>
          </w:tcPr>
          <w:p>
            <w:pPr>
              <w:spacing w:before="40" w:after="40"/>
            </w:pPr>
            <w:r>
              <w:rPr>
                <w:rFonts w:ascii="Calibri" w:hAnsi="Calibri"/>
                <w:b/>
                <w:color w:val="1E293B"/>
                <w:sz w:val="18"/>
              </w:rPr>
              <w:t>Deterministic CARC/RARC Playbook</w:t>
            </w:r>
            <w:r>
              <w:rPr>
                <w:rFonts w:ascii="Calibri" w:hAnsi="Calibri"/>
                <w:color w:val="1E293B"/>
                <w:sz w:val="18"/>
              </w:rPr>
              <w:t xml:space="preserve"> (</w:t>
            </w:r>
            <w:r>
              <w:rPr>
                <w:rFonts w:ascii="Consolas" w:hAnsi="Consolas"/>
                <w:color w:val="B45309"/>
                <w:sz w:val="16"/>
              </w:rPr>
              <w:t>knowledge/rcm_reference.py</w:t>
            </w:r>
            <w:r>
              <w:rPr>
                <w:rFonts w:ascii="Calibri" w:hAnsi="Calibri"/>
                <w:color w:val="1E293B"/>
                <w:sz w:val="18"/>
              </w:rPr>
              <w:t>)</w:t>
            </w:r>
          </w:p>
        </w:tc>
        <w:tc>
          <w:tcPr>
            <w:tcW w:type="dxa" w:w="2412"/>
            <w:tcMar>
              <w:top w:w="100" w:type="dxa"/>
              <w:bottom w:w="100" w:type="dxa"/>
              <w:left w:w="140" w:type="dxa"/>
              <w:right w:w="140" w:type="dxa"/>
            </w:tcMar>
            <w:shd w:fill="FFFFFF"/>
          </w:tcPr>
          <w:p>
            <w:pPr>
              <w:spacing w:before="40" w:after="40"/>
            </w:pPr>
            <w:r>
              <w:rPr>
                <w:rFonts w:ascii="Calibri" w:hAnsi="Calibri"/>
                <w:b/>
                <w:color w:val="1E293B"/>
                <w:sz w:val="18"/>
              </w:rPr>
              <w:t>`CO-16` uses 0 LLM tokens</w:t>
            </w:r>
            <w:r>
              <w:rPr>
                <w:rFonts w:ascii="Calibri" w:hAnsi="Calibri"/>
                <w:color w:val="1E293B"/>
                <w:sz w:val="18"/>
              </w:rPr>
              <w:t>; flags contradictory charts</w:t>
            </w:r>
          </w:p>
        </w:tc>
      </w:tr>
      <w:tr>
        <w:tc>
          <w:tcPr>
            <w:tcW w:type="dxa" w:w="2412"/>
            <w:tcMar>
              <w:top w:w="100" w:type="dxa"/>
              <w:bottom w:w="100" w:type="dxa"/>
              <w:left w:w="140" w:type="dxa"/>
              <w:right w:w="140" w:type="dxa"/>
            </w:tcMar>
            <w:shd w:fill="F8FAFC"/>
          </w:tcPr>
          <w:p>
            <w:pPr>
              <w:spacing w:before="40" w:after="40"/>
            </w:pPr>
            <w:r>
              <w:rPr>
                <w:rFonts w:ascii="Calibri" w:hAnsi="Calibri"/>
                <w:b/>
                <w:color w:val="1E293B"/>
                <w:sz w:val="18"/>
              </w:rPr>
              <w:t>HIPAA Compliance</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Raw patient records in prompt</w:t>
            </w:r>
          </w:p>
        </w:tc>
        <w:tc>
          <w:tcPr>
            <w:tcW w:type="dxa" w:w="2412"/>
            <w:tcMar>
              <w:top w:w="100" w:type="dxa"/>
              <w:bottom w:w="100" w:type="dxa"/>
              <w:left w:w="140" w:type="dxa"/>
              <w:right w:w="140" w:type="dxa"/>
            </w:tcMar>
            <w:shd w:fill="F8FAFC"/>
          </w:tcPr>
          <w:p>
            <w:pPr>
              <w:spacing w:before="40" w:after="40"/>
            </w:pPr>
            <w:r>
              <w:rPr>
                <w:rFonts w:ascii="Calibri" w:hAnsi="Calibri"/>
                <w:b/>
                <w:color w:val="1E293B"/>
                <w:sz w:val="18"/>
              </w:rPr>
              <w:t>HIPAA Safe Harbor Scrubber</w:t>
            </w:r>
            <w:r>
              <w:rPr>
                <w:rFonts w:ascii="Calibri" w:hAnsi="Calibri"/>
                <w:color w:val="1E293B"/>
                <w:sz w:val="18"/>
              </w:rPr>
              <w:t xml:space="preserve"> (</w:t>
            </w:r>
            <w:r>
              <w:rPr>
                <w:rFonts w:ascii="Consolas" w:hAnsi="Consolas"/>
                <w:color w:val="B45309"/>
                <w:sz w:val="16"/>
              </w:rPr>
              <w:t>Deidentifier</w:t>
            </w:r>
            <w:r>
              <w:rPr>
                <w:rFonts w:ascii="Calibri" w:hAnsi="Calibri"/>
                <w:color w:val="1E293B"/>
                <w:sz w:val="18"/>
              </w:rPr>
              <w:t>)</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Masks 18 direct identifiers into deterministic tokens</w:t>
            </w:r>
          </w:p>
        </w:tc>
      </w:tr>
      <w:tr>
        <w:tc>
          <w:tcPr>
            <w:tcW w:type="dxa" w:w="2412"/>
            <w:tcMar>
              <w:top w:w="100" w:type="dxa"/>
              <w:bottom w:w="100" w:type="dxa"/>
              <w:left w:w="140" w:type="dxa"/>
              <w:right w:w="140" w:type="dxa"/>
            </w:tcMar>
            <w:shd w:fill="FFFFFF"/>
          </w:tcPr>
          <w:p>
            <w:pPr>
              <w:spacing w:before="40" w:after="40"/>
            </w:pPr>
            <w:r>
              <w:rPr>
                <w:rFonts w:ascii="Calibri" w:hAnsi="Calibri"/>
                <w:b/>
                <w:color w:val="1E293B"/>
                <w:sz w:val="18"/>
              </w:rPr>
              <w:t>Retrieval Engine</w:t>
            </w:r>
          </w:p>
        </w:tc>
        <w:tc>
          <w:tcPr>
            <w:tcW w:type="dxa" w:w="2412"/>
            <w:tcMar>
              <w:top w:w="100" w:type="dxa"/>
              <w:bottom w:w="100" w:type="dxa"/>
              <w:left w:w="140" w:type="dxa"/>
              <w:right w:w="140" w:type="dxa"/>
            </w:tcMar>
            <w:shd w:fill="FFFFFF"/>
          </w:tcPr>
          <w:p>
            <w:pPr>
              <w:spacing w:before="40" w:after="40"/>
            </w:pPr>
            <w:r>
              <w:rPr>
                <w:rFonts w:ascii="Calibri" w:hAnsi="Calibri"/>
                <w:color w:val="1E293B"/>
                <w:sz w:val="18"/>
              </w:rPr>
              <w:t>Cosine semantic vector search</w:t>
            </w:r>
          </w:p>
        </w:tc>
        <w:tc>
          <w:tcPr>
            <w:tcW w:type="dxa" w:w="2412"/>
            <w:tcMar>
              <w:top w:w="100" w:type="dxa"/>
              <w:bottom w:w="100" w:type="dxa"/>
              <w:left w:w="140" w:type="dxa"/>
              <w:right w:w="140" w:type="dxa"/>
            </w:tcMar>
            <w:shd w:fill="FFFFFF"/>
          </w:tcPr>
          <w:p>
            <w:pPr>
              <w:spacing w:before="40" w:after="40"/>
            </w:pPr>
            <w:r>
              <w:rPr>
                <w:rFonts w:ascii="Calibri" w:hAnsi="Calibri"/>
                <w:b/>
                <w:color w:val="1E293B"/>
                <w:sz w:val="18"/>
              </w:rPr>
              <w:t>Lexical BM25 Ranker</w:t>
            </w:r>
            <w:r>
              <w:rPr>
                <w:rFonts w:ascii="Calibri" w:hAnsi="Calibri"/>
                <w:color w:val="1E293B"/>
                <w:sz w:val="18"/>
              </w:rPr>
              <w:t xml:space="preserve"> (</w:t>
            </w:r>
            <w:r>
              <w:rPr>
                <w:rFonts w:ascii="Consolas" w:hAnsi="Consolas"/>
                <w:color w:val="B45309"/>
                <w:sz w:val="16"/>
              </w:rPr>
              <w:t>agents/retrieval.py</w:t>
            </w:r>
            <w:r>
              <w:rPr>
                <w:rFonts w:ascii="Calibri" w:hAnsi="Calibri"/>
                <w:color w:val="1E293B"/>
                <w:sz w:val="18"/>
              </w:rPr>
              <w:t>)</w:t>
            </w:r>
          </w:p>
        </w:tc>
        <w:tc>
          <w:tcPr>
            <w:tcW w:type="dxa" w:w="2412"/>
            <w:tcMar>
              <w:top w:w="100" w:type="dxa"/>
              <w:bottom w:w="100" w:type="dxa"/>
              <w:left w:w="140" w:type="dxa"/>
              <w:right w:w="140" w:type="dxa"/>
            </w:tcMar>
            <w:shd w:fill="FFFFFF"/>
          </w:tcPr>
          <w:p>
            <w:pPr>
              <w:spacing w:before="40" w:after="40"/>
            </w:pPr>
            <w:r>
              <w:rPr>
                <w:rFonts w:ascii="Calibri" w:hAnsi="Calibri"/>
                <w:color w:val="1E293B"/>
                <w:sz w:val="18"/>
              </w:rPr>
              <w:t>Preserves decimal depths (</w:t>
            </w:r>
            <w:r>
              <w:rPr>
                <w:rFonts w:ascii="Consolas" w:hAnsi="Consolas"/>
                <w:color w:val="B45309"/>
                <w:sz w:val="16"/>
              </w:rPr>
              <w:t>4.5mm</w:t>
            </w:r>
            <w:r>
              <w:rPr>
                <w:rFonts w:ascii="Calibri" w:hAnsi="Calibri"/>
                <w:color w:val="1E293B"/>
                <w:sz w:val="18"/>
              </w:rPr>
              <w:t>); zero vector drift</w:t>
            </w:r>
          </w:p>
        </w:tc>
      </w:tr>
      <w:tr>
        <w:tc>
          <w:tcPr>
            <w:tcW w:type="dxa" w:w="2412"/>
            <w:tcMar>
              <w:top w:w="100" w:type="dxa"/>
              <w:bottom w:w="100" w:type="dxa"/>
              <w:left w:w="140" w:type="dxa"/>
              <w:right w:w="140" w:type="dxa"/>
            </w:tcMar>
            <w:shd w:fill="F8FAFC"/>
          </w:tcPr>
          <w:p>
            <w:pPr>
              <w:spacing w:before="40" w:after="40"/>
            </w:pPr>
            <w:r>
              <w:rPr>
                <w:rFonts w:ascii="Calibri" w:hAnsi="Calibri"/>
                <w:b/>
                <w:color w:val="1E293B"/>
                <w:sz w:val="18"/>
              </w:rPr>
              <w:t>Appeal Drafting</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Generic appeal template</w:t>
            </w:r>
          </w:p>
        </w:tc>
        <w:tc>
          <w:tcPr>
            <w:tcW w:type="dxa" w:w="2412"/>
            <w:tcMar>
              <w:top w:w="100" w:type="dxa"/>
              <w:bottom w:w="100" w:type="dxa"/>
              <w:left w:w="140" w:type="dxa"/>
              <w:right w:w="140" w:type="dxa"/>
            </w:tcMar>
            <w:shd w:fill="F8FAFC"/>
          </w:tcPr>
          <w:p>
            <w:pPr>
              <w:spacing w:before="40" w:after="40"/>
            </w:pPr>
            <w:r>
              <w:rPr>
                <w:rFonts w:ascii="Calibri" w:hAnsi="Calibri"/>
                <w:b/>
                <w:color w:val="1E293B"/>
                <w:sz w:val="18"/>
              </w:rPr>
              <w:t>Statute-Specific Drafter</w:t>
            </w:r>
            <w:r>
              <w:rPr>
                <w:rFonts w:ascii="Calibri" w:hAnsi="Calibri"/>
                <w:color w:val="1E293B"/>
                <w:sz w:val="18"/>
              </w:rPr>
              <w:t xml:space="preserve"> (</w:t>
            </w:r>
            <w:r>
              <w:rPr>
                <w:rFonts w:ascii="Consolas" w:hAnsi="Consolas"/>
                <w:color w:val="B45309"/>
                <w:sz w:val="16"/>
              </w:rPr>
              <w:t>agents/llm.py</w:t>
            </w:r>
            <w:r>
              <w:rPr>
                <w:rFonts w:ascii="Calibri" w:hAnsi="Calibri"/>
                <w:color w:val="1E293B"/>
                <w:sz w:val="18"/>
              </w:rPr>
              <w:t>)</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Cites ERISA § 503 vs State Prompt Pay based on plan type</w:t>
            </w:r>
          </w:p>
        </w:tc>
      </w:tr>
      <w:tr>
        <w:tc>
          <w:tcPr>
            <w:tcW w:type="dxa" w:w="2412"/>
            <w:tcMar>
              <w:top w:w="100" w:type="dxa"/>
              <w:bottom w:w="100" w:type="dxa"/>
              <w:left w:w="140" w:type="dxa"/>
              <w:right w:w="140" w:type="dxa"/>
            </w:tcMar>
            <w:shd w:fill="FFFFFF"/>
          </w:tcPr>
          <w:p>
            <w:pPr>
              <w:spacing w:before="40" w:after="40"/>
            </w:pPr>
            <w:r>
              <w:rPr>
                <w:rFonts w:ascii="Calibri" w:hAnsi="Calibri"/>
                <w:b/>
                <w:color w:val="1E293B"/>
                <w:sz w:val="18"/>
              </w:rPr>
              <w:t>Quality Control</w:t>
            </w:r>
          </w:p>
        </w:tc>
        <w:tc>
          <w:tcPr>
            <w:tcW w:type="dxa" w:w="2412"/>
            <w:tcMar>
              <w:top w:w="100" w:type="dxa"/>
              <w:bottom w:w="100" w:type="dxa"/>
              <w:left w:w="140" w:type="dxa"/>
              <w:right w:w="140" w:type="dxa"/>
            </w:tcMar>
            <w:shd w:fill="FFFFFF"/>
          </w:tcPr>
          <w:p>
            <w:pPr>
              <w:spacing w:before="40" w:after="40"/>
            </w:pPr>
            <w:r>
              <w:rPr>
                <w:rFonts w:ascii="Calibri" w:hAnsi="Calibri"/>
                <w:color w:val="1E293B"/>
                <w:sz w:val="18"/>
              </w:rPr>
              <w:t>Unchecked LLM output</w:t>
            </w:r>
          </w:p>
        </w:tc>
        <w:tc>
          <w:tcPr>
            <w:tcW w:type="dxa" w:w="2412"/>
            <w:tcMar>
              <w:top w:w="100" w:type="dxa"/>
              <w:bottom w:w="100" w:type="dxa"/>
              <w:left w:w="140" w:type="dxa"/>
              <w:right w:w="140" w:type="dxa"/>
            </w:tcMar>
            <w:shd w:fill="FFFFFF"/>
          </w:tcPr>
          <w:p>
            <w:pPr>
              <w:spacing w:before="40" w:after="40"/>
            </w:pPr>
            <w:r>
              <w:rPr>
                <w:rFonts w:ascii="Calibri" w:hAnsi="Calibri"/>
                <w:b/>
                <w:color w:val="1E293B"/>
                <w:sz w:val="18"/>
              </w:rPr>
              <w:t>Adversarial `GroundingVerifier`</w:t>
            </w:r>
            <w:r>
              <w:rPr>
                <w:rFonts w:ascii="Calibri" w:hAnsi="Calibri"/>
                <w:color w:val="1E293B"/>
                <w:sz w:val="18"/>
              </w:rPr>
              <w:t xml:space="preserve"> (</w:t>
            </w:r>
            <w:r>
              <w:rPr>
                <w:rFonts w:ascii="Consolas" w:hAnsi="Consolas"/>
                <w:color w:val="B45309"/>
                <w:sz w:val="16"/>
              </w:rPr>
              <w:t>eval/grounding.py</w:t>
            </w:r>
            <w:r>
              <w:rPr>
                <w:rFonts w:ascii="Calibri" w:hAnsi="Calibri"/>
                <w:color w:val="1E293B"/>
                <w:sz w:val="18"/>
              </w:rPr>
              <w:t>)</w:t>
            </w:r>
          </w:p>
        </w:tc>
        <w:tc>
          <w:tcPr>
            <w:tcW w:type="dxa" w:w="2412"/>
            <w:tcMar>
              <w:top w:w="100" w:type="dxa"/>
              <w:bottom w:w="100" w:type="dxa"/>
              <w:left w:w="140" w:type="dxa"/>
              <w:right w:w="140" w:type="dxa"/>
            </w:tcMar>
            <w:shd w:fill="FFFFFF"/>
          </w:tcPr>
          <w:p>
            <w:pPr>
              <w:spacing w:before="40" w:after="40"/>
            </w:pPr>
            <w:r>
              <w:rPr>
                <w:rFonts w:ascii="Calibri" w:hAnsi="Calibri"/>
                <w:color w:val="1E293B"/>
                <w:sz w:val="18"/>
              </w:rPr>
              <w:t>Asserts verbatim quotes &amp; contractual allowed fee</w:t>
            </w:r>
          </w:p>
        </w:tc>
      </w:tr>
      <w:tr>
        <w:tc>
          <w:tcPr>
            <w:tcW w:type="dxa" w:w="2412"/>
            <w:tcMar>
              <w:top w:w="100" w:type="dxa"/>
              <w:bottom w:w="100" w:type="dxa"/>
              <w:left w:w="140" w:type="dxa"/>
              <w:right w:w="140" w:type="dxa"/>
            </w:tcMar>
            <w:shd w:fill="F8FAFC"/>
          </w:tcPr>
          <w:p>
            <w:pPr>
              <w:spacing w:before="40" w:after="40"/>
            </w:pPr>
            <w:r>
              <w:rPr>
                <w:rFonts w:ascii="Calibri" w:hAnsi="Calibri"/>
                <w:b/>
                <w:color w:val="1E293B"/>
                <w:sz w:val="18"/>
              </w:rPr>
              <w:t>Token Optimization</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Uncached prompts</w:t>
            </w:r>
          </w:p>
        </w:tc>
        <w:tc>
          <w:tcPr>
            <w:tcW w:type="dxa" w:w="2412"/>
            <w:tcMar>
              <w:top w:w="100" w:type="dxa"/>
              <w:bottom w:w="100" w:type="dxa"/>
              <w:left w:w="140" w:type="dxa"/>
              <w:right w:w="140" w:type="dxa"/>
            </w:tcMar>
            <w:shd w:fill="F8FAFC"/>
          </w:tcPr>
          <w:p>
            <w:pPr>
              <w:spacing w:before="40" w:after="40"/>
            </w:pPr>
            <w:r>
              <w:rPr>
                <w:rFonts w:ascii="Calibri" w:hAnsi="Calibri"/>
                <w:b/>
                <w:color w:val="1E293B"/>
                <w:sz w:val="18"/>
              </w:rPr>
              <w:t>Anthropic Prefix Caching Simulator</w:t>
            </w:r>
            <w:r>
              <w:rPr>
                <w:rFonts w:ascii="Calibri" w:hAnsi="Calibri"/>
                <w:color w:val="1E293B"/>
                <w:sz w:val="18"/>
              </w:rPr>
              <w:t xml:space="preserve"> (</w:t>
            </w:r>
            <w:r>
              <w:rPr>
                <w:rFonts w:ascii="Consolas" w:hAnsi="Consolas"/>
                <w:color w:val="B45309"/>
                <w:sz w:val="16"/>
              </w:rPr>
              <w:t>llm_cache/</w:t>
            </w:r>
            <w:r>
              <w:rPr>
                <w:rFonts w:ascii="Calibri" w:hAnsi="Calibri"/>
                <w:color w:val="1E293B"/>
                <w:sz w:val="18"/>
              </w:rPr>
              <w:t>)</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90% input token discount; break-even on 1st read</w:t>
            </w:r>
          </w:p>
        </w:tc>
      </w:tr>
      <w:tr>
        <w:tc>
          <w:tcPr>
            <w:tcW w:type="dxa" w:w="2412"/>
            <w:tcMar>
              <w:top w:w="100" w:type="dxa"/>
              <w:bottom w:w="100" w:type="dxa"/>
              <w:left w:w="140" w:type="dxa"/>
              <w:right w:w="140" w:type="dxa"/>
            </w:tcMar>
            <w:shd w:fill="FFFFFF"/>
          </w:tcPr>
          <w:p>
            <w:pPr>
              <w:spacing w:before="40" w:after="40"/>
            </w:pPr>
            <w:r>
              <w:rPr>
                <w:rFonts w:ascii="Calibri" w:hAnsi="Calibri"/>
                <w:b/>
                <w:color w:val="1E293B"/>
                <w:sz w:val="18"/>
              </w:rPr>
              <w:t>Staffing Engine</w:t>
            </w:r>
          </w:p>
        </w:tc>
        <w:tc>
          <w:tcPr>
            <w:tcW w:type="dxa" w:w="2412"/>
            <w:tcMar>
              <w:top w:w="100" w:type="dxa"/>
              <w:bottom w:w="100" w:type="dxa"/>
              <w:left w:w="140" w:type="dxa"/>
              <w:right w:w="140" w:type="dxa"/>
            </w:tcMar>
            <w:shd w:fill="FFFFFF"/>
          </w:tcPr>
          <w:p>
            <w:pPr>
              <w:spacing w:before="40" w:after="40"/>
            </w:pPr>
            <w:r>
              <w:rPr>
                <w:rFonts w:ascii="Calibri" w:hAnsi="Calibri"/>
                <w:color w:val="1E293B"/>
                <w:sz w:val="18"/>
              </w:rPr>
              <w:t>Overtime counted for all staff</w:t>
            </w:r>
          </w:p>
        </w:tc>
        <w:tc>
          <w:tcPr>
            <w:tcW w:type="dxa" w:w="2412"/>
            <w:tcMar>
              <w:top w:w="100" w:type="dxa"/>
              <w:bottom w:w="100" w:type="dxa"/>
              <w:left w:w="140" w:type="dxa"/>
              <w:right w:w="140" w:type="dxa"/>
            </w:tcMar>
            <w:shd w:fill="FFFFFF"/>
          </w:tcPr>
          <w:p>
            <w:pPr>
              <w:spacing w:before="40" w:after="40"/>
            </w:pPr>
            <w:r>
              <w:rPr>
                <w:rFonts w:ascii="Calibri" w:hAnsi="Calibri"/>
                <w:b/>
                <w:color w:val="1E293B"/>
                <w:sz w:val="18"/>
              </w:rPr>
              <w:t>FLSA Exempt Balancing Engine</w:t>
            </w:r>
            <w:r>
              <w:rPr>
                <w:rFonts w:ascii="Calibri" w:hAnsi="Calibri"/>
                <w:color w:val="1E293B"/>
                <w:sz w:val="18"/>
              </w:rPr>
              <w:t xml:space="preserve"> (</w:t>
            </w:r>
            <w:r>
              <w:rPr>
                <w:rFonts w:ascii="Consolas" w:hAnsi="Consolas"/>
                <w:color w:val="B45309"/>
                <w:sz w:val="16"/>
              </w:rPr>
              <w:t>integrations/mock_apis.py</w:t>
            </w:r>
            <w:r>
              <w:rPr>
                <w:rFonts w:ascii="Calibri" w:hAnsi="Calibri"/>
                <w:color w:val="1E293B"/>
                <w:sz w:val="18"/>
              </w:rPr>
              <w:t>)</w:t>
            </w:r>
          </w:p>
        </w:tc>
        <w:tc>
          <w:tcPr>
            <w:tcW w:type="dxa" w:w="2412"/>
            <w:tcMar>
              <w:top w:w="100" w:type="dxa"/>
              <w:bottom w:w="100" w:type="dxa"/>
              <w:left w:w="140" w:type="dxa"/>
              <w:right w:w="140" w:type="dxa"/>
            </w:tcMar>
            <w:shd w:fill="FFFFFF"/>
          </w:tcPr>
          <w:p>
            <w:pPr>
              <w:spacing w:before="40" w:after="40"/>
            </w:pPr>
            <w:r>
              <w:rPr>
                <w:rFonts w:ascii="Calibri" w:hAnsi="Calibri"/>
                <w:color w:val="1E293B"/>
                <w:sz w:val="18"/>
              </w:rPr>
              <w:t>Excludes salaried dentists from 40hr overtime limits</w:t>
            </w:r>
          </w:p>
        </w:tc>
      </w:tr>
      <w:tr>
        <w:tc>
          <w:tcPr>
            <w:tcW w:type="dxa" w:w="2412"/>
            <w:tcMar>
              <w:top w:w="100" w:type="dxa"/>
              <w:bottom w:w="100" w:type="dxa"/>
              <w:left w:w="140" w:type="dxa"/>
              <w:right w:w="140" w:type="dxa"/>
            </w:tcMar>
            <w:shd w:fill="F8FAFC"/>
          </w:tcPr>
          <w:p>
            <w:pPr>
              <w:spacing w:before="40" w:after="40"/>
            </w:pPr>
            <w:r>
              <w:rPr>
                <w:rFonts w:ascii="Calibri" w:hAnsi="Calibri"/>
                <w:b/>
                <w:color w:val="1E293B"/>
                <w:sz w:val="18"/>
              </w:rPr>
              <w:t>Verification</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10 simple unit tests</w:t>
            </w:r>
          </w:p>
        </w:tc>
        <w:tc>
          <w:tcPr>
            <w:tcW w:type="dxa" w:w="2412"/>
            <w:tcMar>
              <w:top w:w="100" w:type="dxa"/>
              <w:bottom w:w="100" w:type="dxa"/>
              <w:left w:w="140" w:type="dxa"/>
              <w:right w:w="140" w:type="dxa"/>
            </w:tcMar>
            <w:shd w:fill="F8FAFC"/>
          </w:tcPr>
          <w:p>
            <w:pPr>
              <w:spacing w:before="40" w:after="40"/>
            </w:pPr>
            <w:r>
              <w:rPr>
                <w:rFonts w:ascii="Calibri" w:hAnsi="Calibri"/>
                <w:b/>
                <w:color w:val="1E293B"/>
                <w:sz w:val="18"/>
              </w:rPr>
              <w:t>28 Comprehensive Behavioral &amp; Regulatory Tests</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100% passing test suite across all critical paths</w:t>
            </w:r>
          </w:p>
        </w:tc>
      </w:tr>
    </w:tbl>
    <w:p>
      <w:pPr>
        <w:spacing w:before="0" w:after="120"/>
      </w:pPr>
    </w:p>
    <w:p>
      <w:pPr>
        <w:spacing w:before="120" w:after="160"/>
        <w:pBdr>
          <w:bottom w:val="single" w:sz="6" w:space="1" w:color="CBD5E1"/>
        </w:pBdr>
      </w:pPr>
    </w:p>
    <w:p>
      <w:pPr>
        <w:keepNext/>
        <w:spacing w:before="280" w:after="60"/>
      </w:pPr>
      <w:r>
        <w:rPr>
          <w:rFonts w:ascii="Calibri" w:hAnsi="Calibri"/>
          <w:b/>
          <w:color w:val="1A365D"/>
          <w:sz w:val="28"/>
        </w:rPr>
        <w:t>3. Technical Stack &amp; Implementation</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left w:val="single" w:sz="18" w:space="0" w:color="0D9488"/>
              <w:top w:val="single" w:sz="4" w:space="0" w:color="E2E8F0"/>
              <w:right w:val="single" w:sz="4" w:space="0" w:color="E2E8F0"/>
              <w:bottom w:val="single" w:sz="4" w:space="0" w:color="E2E8F0"/>
            </w:tcBorders>
          </w:tcPr>
          <w:p>
            <w:pPr>
              <w:spacing w:before="40" w:after="40"/>
            </w:pPr>
            <w:r>
              <w:rPr>
                <w:rFonts w:ascii="Consolas" w:hAnsi="Consolas"/>
                <w:color w:val="1E293B"/>
                <w:sz w:val="17"/>
              </w:rPr>
              <w:t>clove-os/</w:t>
              <w:br/>
              <w:t>├── app.py                      # Production Streamlit Operations Command Dashboard</w:t>
              <w:br/>
              <w:t>├── knowledge/                  # Clinical &amp; Regulatory Ground Truth</w:t>
              <w:br/>
              <w:t>│   ├── __init__.py</w:t>
              <w:br/>
              <w:t>│   └── rcm_reference.py        # CARC/RARC lookup, Playbook routes, CDT clinical policy corpus</w:t>
              <w:br/>
              <w:t>├── agents/                     # Agentic Pipeline &amp; Retrieval</w:t>
              <w:br/>
              <w:t>│   ├── __init__.py</w:t>
              <w:br/>
              <w:t>│   ├── rcm_supervisor.py       # LangGraph Supervisor state machine &amp; HITL pause/resume</w:t>
              <w:br/>
              <w:t>│   ├── retrieval.py            # BM25 ranker, decimal sentence splitter, EvidenceExtractor</w:t>
              <w:br/>
              <w:t>│   └── llm.py                  # Safe Harbor Deidentifier, Prefix Caching, Statutory Drafters</w:t>
              <w:br/>
              <w:t>├── eval/                       # Guardrails &amp; Observability</w:t>
              <w:br/>
              <w:t>│   ├── __init__.py</w:t>
              <w:br/>
              <w:t>│   ├── grounding.py            # Adversarial GroundingVerifier (verbatim quotes, allowed fees)</w:t>
              <w:br/>
              <w:t>│   └── observability.py        # Golden evaluation benchmark suite &amp; execution ledger</w:t>
              <w:br/>
              <w:t>├── llm_cache/                  # Token Economics &amp; Caching</w:t>
              <w:br/>
              <w:t>│   ├── __init__.py</w:t>
              <w:br/>
              <w:t>│   └── token_optimizer.py      # Anthropic prefix caching simulator, PHI leak guards, break-even math</w:t>
              <w:br/>
              <w:t>├── integrations/               # Enterprise Operations Mocks</w:t>
              <w:br/>
              <w:t>│   ├── __init__.py</w:t>
              <w:br/>
              <w:t>│   └── mock_apis.py            # Open Dental (eConnector), Deputy (FLSA overtime), Zoho CRM (v8 M&amp;A)</w:t>
              <w:br/>
              <w:t>└── tests/</w:t>
              <w:br/>
              <w:t xml:space="preserve">    └── test_clove_os.py        # 28 passing unit &amp; integration tests (100% pass rate)</w:t>
            </w:r>
          </w:p>
        </w:tc>
      </w:tr>
    </w:tbl>
    <w:p>
      <w:pPr>
        <w:spacing w:before="0" w:after="80"/>
      </w:pPr>
    </w:p>
    <w:p>
      <w:pPr>
        <w:keepNext/>
        <w:spacing w:before="200" w:after="40"/>
      </w:pPr>
      <w:r>
        <w:rPr>
          <w:rFonts w:ascii="Calibri" w:hAnsi="Calibri"/>
          <w:b/>
          <w:color w:val="0D9488"/>
          <w:sz w:val="24"/>
        </w:rPr>
        <w:t>3.1 Step-by-Step Technical Execution</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left w:val="single" w:sz="18" w:space="0" w:color="0D9488"/>
              <w:top w:val="single" w:sz="4" w:space="0" w:color="E2E8F0"/>
              <w:right w:val="single" w:sz="4" w:space="0" w:color="E2E8F0"/>
              <w:bottom w:val="single" w:sz="4" w:space="0" w:color="E2E8F0"/>
            </w:tcBorders>
          </w:tcPr>
          <w:p>
            <w:pPr>
              <w:spacing w:before="40" w:after="40"/>
            </w:pPr>
            <w:r>
              <w:rPr>
                <w:rFonts w:ascii="Consolas" w:hAnsi="Consolas"/>
                <w:color w:val="1E293B"/>
                <w:sz w:val="17"/>
              </w:rPr>
              <w:t xml:space="preserve">                       [ Incoming Remittance / Denial ]</w:t>
              <w:br/>
              <w:t xml:space="preserve">                                      │</w:t>
              <w:br/>
              <w:t xml:space="preserve">                                      ▼</w:t>
              <w:br/>
              <w:t xml:space="preserve">                      ┌───────────────────────────────┐</w:t>
              <w:br/>
              <w:t xml:space="preserve">                      │    Deterministic Triage       │</w:t>
              <w:br/>
              <w:t xml:space="preserve">                      │  (knowledge/rcm_reference.py) │</w:t>
              <w:br/>
              <w:t xml:space="preserve">                      └───────────────┬───────────────┘</w:t>
              <w:br/>
              <w:t xml:space="preserve">                                      │</w:t>
              <w:br/>
              <w:t xml:space="preserve">         ┌────────────────────────────┼───────────────────────────┐</w:t>
              <w:br/>
              <w:t xml:space="preserve">         │ (CO-16: Missing Doc)       │ (Contradicts Policy)      │ (CO-50: Med. Necessity)</w:t>
              <w:br/>
              <w:t xml:space="preserve">         ▼                            ▼                           ▼</w:t>
              <w:br/>
              <w:t>┌──────────────────┐        ┌──────────────────┐        ┌───────────────────┐</w:t>
              <w:br/>
              <w:t>│ Route.RESUBMIT_  │        │ Patient Billing  │        │ HIPAA Safe Harbor │</w:t>
              <w:br/>
              <w:t>│ WITH_ATTACHMENT  │        │ / Write-Off      │        │ De-identification │</w:t>
              <w:br/>
              <w:t>│ (0 LLM Tokens)   │        │ (0 LLM Tokens)   │        │ ([PATIENT_A] etc) │</w:t>
              <w:br/>
              <w:t>└────────┬─────────┘        └──────────────────┘        └─────────┬─────────┘</w:t>
              <w:br/>
              <w:t xml:space="preserve">         │                                                        │</w:t>
              <w:br/>
              <w:t xml:space="preserve">         │                                                        ▼</w:t>
              <w:br/>
              <w:t xml:space="preserve">         │                                              ┌───────────────────┐</w:t>
              <w:br/>
              <w:t xml:space="preserve">         │                                              │    BM25 Lexical   │</w:t>
              <w:br/>
              <w:t xml:space="preserve">         │                                              │     Retrieval     │</w:t>
              <w:br/>
              <w:t xml:space="preserve">         │                                              └─────────┬─────────┘</w:t>
              <w:br/>
              <w:t xml:space="preserve">         │                                                        │</w:t>
              <w:br/>
              <w:t xml:space="preserve">         │                                                        ▼</w:t>
              <w:br/>
              <w:t xml:space="preserve">         │                                              ┌───────────────────┐</w:t>
              <w:br/>
              <w:t xml:space="preserve">         │                                              │ Grounded Legal    │</w:t>
              <w:br/>
              <w:t xml:space="preserve">         │                                              │ Drafting Engine   │</w:t>
              <w:br/>
              <w:t xml:space="preserve">         │                                              │ (ERISA vs State)  │</w:t>
              <w:br/>
              <w:t xml:space="preserve">         │                                              └─────────┬─────────┘</w:t>
              <w:br/>
              <w:t xml:space="preserve">         │                                                        │</w:t>
              <w:br/>
              <w:t xml:space="preserve">         │                                                        ▼</w:t>
              <w:br/>
              <w:t xml:space="preserve">         │                                              ┌───────────────────┐</w:t>
              <w:br/>
              <w:t xml:space="preserve">         │                                              │    Adversarial    │</w:t>
              <w:br/>
              <w:t xml:space="preserve">         │                                              │ GroundingVerifier │</w:t>
              <w:br/>
              <w:t xml:space="preserve">         │                                              └─────────┬─────────┘</w:t>
              <w:br/>
              <w:t xml:space="preserve">         │                                                        │</w:t>
              <w:br/>
              <w:t xml:space="preserve">         │                                                        ▼</w:t>
              <w:br/>
              <w:t xml:space="preserve">         │                                              ┌───────────────────┐</w:t>
              <w:br/>
              <w:t xml:space="preserve">         │                                              │ LangGraph HITL    │</w:t>
              <w:br/>
              <w:t xml:space="preserve">         │                                              │ Checkpoint Review │</w:t>
              <w:br/>
              <w:t xml:space="preserve">         │                                              └─────────┬─────────┘</w:t>
              <w:br/>
              <w:t xml:space="preserve">         │                                                        │</w:t>
              <w:br/>
              <w:t xml:space="preserve">         └────────────────────────────┬───────────────────────────┘</w:t>
              <w:br/>
              <w:t xml:space="preserve">                                      │</w:t>
              <w:br/>
              <w:t xml:space="preserve">                                      ▼</w:t>
              <w:br/>
              <w:t xml:space="preserve">                        ┌───────────────────────────┐</w:t>
              <w:br/>
              <w:t xml:space="preserve">                        │ Writeback to Open Dental  │</w:t>
              <w:br/>
              <w:t xml:space="preserve">                        │ (ClaimProc Work Item)     │</w:t>
              <w:br/>
              <w:t xml:space="preserve">                        └───────────────────────────┘</w:t>
            </w:r>
          </w:p>
        </w:tc>
      </w:tr>
    </w:tbl>
    <w:p>
      <w:pPr>
        <w:spacing w:before="0" w:after="80"/>
      </w:pPr>
    </w:p>
    <w:p>
      <w:pPr>
        <w:keepNext/>
        <w:spacing w:before="160" w:after="40"/>
      </w:pPr>
      <w:r>
        <w:rPr>
          <w:rFonts w:ascii="Calibri" w:hAnsi="Calibri"/>
          <w:b/>
          <w:color w:val="475569"/>
          <w:sz w:val="22"/>
        </w:rPr>
        <w:t>Step 1: Deterministic Denial Triage (`knowledge/rcm_reference.py`)</w:t>
      </w:r>
    </w:p>
    <w:p>
      <w:pPr>
        <w:spacing w:before="0" w:after="80" w:line="276" w:lineRule="auto"/>
      </w:pPr>
      <w:r>
        <w:rPr>
          <w:rFonts w:ascii="Calibri" w:hAnsi="Calibri"/>
          <w:color w:val="1E293B"/>
          <w:sz w:val="20"/>
        </w:rPr>
        <w:t>Denials are matched against the CARC/RARC playbook:</w:t>
      </w:r>
    </w:p>
    <w:p>
      <w:pPr>
        <w:pStyle w:val="ListBullet"/>
        <w:spacing w:before="20" w:after="40"/>
      </w:pPr>
      <w:r>
        <w:rPr>
          <w:rFonts w:ascii="Calibri" w:hAnsi="Calibri"/>
          <w:b/>
          <w:color w:val="1E293B"/>
          <w:sz w:val="20"/>
        </w:rPr>
        <w:t>`CO-16` (Missing Documentation)</w:t>
      </w:r>
      <w:r>
        <w:rPr>
          <w:rFonts w:ascii="Calibri" w:hAnsi="Calibri"/>
          <w:color w:val="1E293B"/>
          <w:sz w:val="20"/>
        </w:rPr>
        <w:t>: Completely bypasses the LLM ($0$ tokens spent). In dental claims, payers require an image attachment, not an essay. The system queries Open Dental for the contemporaneous bitewings or periapical x-rays and schedules an electronic resubmission.</w:t>
      </w:r>
    </w:p>
    <w:p>
      <w:pPr>
        <w:pStyle w:val="ListBullet"/>
        <w:spacing w:before="20" w:after="40"/>
      </w:pPr>
      <w:r>
        <w:rPr>
          <w:rFonts w:ascii="Calibri" w:hAnsi="Calibri"/>
          <w:b/>
          <w:color w:val="1E293B"/>
          <w:sz w:val="20"/>
        </w:rPr>
        <w:t>Clinical Contradiction Gating</w:t>
      </w:r>
      <w:r>
        <w:rPr>
          <w:rFonts w:ascii="Calibri" w:hAnsi="Calibri"/>
          <w:color w:val="1E293B"/>
          <w:sz w:val="20"/>
        </w:rPr>
        <w:t xml:space="preserve">: If a provider bills </w:t>
      </w:r>
      <w:r>
        <w:rPr>
          <w:rFonts w:ascii="Consolas" w:hAnsi="Consolas"/>
          <w:color w:val="B45309"/>
          <w:sz w:val="18"/>
        </w:rPr>
        <w:t>D2950</w:t>
      </w:r>
      <w:r>
        <w:rPr>
          <w:rFonts w:ascii="Calibri" w:hAnsi="Calibri"/>
          <w:color w:val="1E293B"/>
          <w:sz w:val="20"/>
        </w:rPr>
        <w:t xml:space="preserve"> (Core Buildup) but the contemporaneous chart notes state "decay $&lt;50\%$ of clinical crown", the system aborts appeal drafting and reassigns the claim to patient responsibility. Appealing against the clinical evidence is blocked automatically.</w:t>
      </w:r>
    </w:p>
    <w:p>
      <w:pPr>
        <w:pStyle w:val="ListBullet"/>
        <w:spacing w:before="20" w:after="40"/>
      </w:pPr>
      <w:r>
        <w:rPr>
          <w:rFonts w:ascii="Calibri" w:hAnsi="Calibri"/>
          <w:b/>
          <w:color w:val="1E293B"/>
          <w:sz w:val="20"/>
        </w:rPr>
        <w:t>High-Discount Zero Pay</w:t>
      </w:r>
      <w:r>
        <w:rPr>
          <w:rFonts w:ascii="Calibri" w:hAnsi="Calibri"/>
          <w:color w:val="1E293B"/>
          <w:sz w:val="20"/>
        </w:rPr>
        <w:t xml:space="preserve">: If an in-network adjustment exceeds $70\%$ discount, the claim is flagged for </w:t>
      </w:r>
      <w:r>
        <w:rPr>
          <w:rFonts w:ascii="Consolas" w:hAnsi="Consolas"/>
          <w:color w:val="B45309"/>
          <w:sz w:val="18"/>
        </w:rPr>
        <w:t>Route.REP_CALL</w:t>
      </w:r>
      <w:r>
        <w:rPr>
          <w:rFonts w:ascii="Calibri" w:hAnsi="Calibri"/>
          <w:color w:val="1E293B"/>
          <w:sz w:val="20"/>
        </w:rPr>
        <w:t>.</w:t>
      </w:r>
    </w:p>
    <w:p>
      <w:pPr>
        <w:keepNext/>
        <w:spacing w:before="160" w:after="40"/>
      </w:pPr>
      <w:r>
        <w:rPr>
          <w:rFonts w:ascii="Calibri" w:hAnsi="Calibri"/>
          <w:b/>
          <w:color w:val="475569"/>
          <w:sz w:val="22"/>
        </w:rPr>
        <w:t>Step 2: HIPAA Safe Harbor De-Identification (`agents/llm.py`)</w:t>
      </w:r>
    </w:p>
    <w:p>
      <w:pPr>
        <w:spacing w:before="0" w:after="80" w:line="276" w:lineRule="auto"/>
      </w:pPr>
      <w:r>
        <w:rPr>
          <w:rFonts w:ascii="Calibri" w:hAnsi="Calibri"/>
          <w:color w:val="1E293B"/>
          <w:sz w:val="20"/>
        </w:rPr>
        <w:t xml:space="preserve">Patient records pass through the </w:t>
      </w:r>
      <w:r>
        <w:rPr>
          <w:rFonts w:ascii="Consolas" w:hAnsi="Consolas"/>
          <w:color w:val="B45309"/>
          <w:sz w:val="18"/>
        </w:rPr>
        <w:t>Deidentifier</w:t>
      </w:r>
      <w:r>
        <w:rPr>
          <w:rFonts w:ascii="Calibri" w:hAnsi="Calibri"/>
          <w:color w:val="1E293B"/>
          <w:sz w:val="20"/>
        </w:rPr>
        <w:t xml:space="preserve"> engine, which strips all 18 HIPAA direct identifiers:</w:t>
      </w:r>
    </w:p>
    <w:p>
      <w:pPr>
        <w:pStyle w:val="ListBullet"/>
        <w:spacing w:before="20" w:after="40"/>
      </w:pPr>
      <w:r>
        <w:rPr>
          <w:rFonts w:ascii="Calibri" w:hAnsi="Calibri"/>
          <w:color w:val="1E293B"/>
          <w:sz w:val="20"/>
        </w:rPr>
        <w:t>Patient Name $</w:t>
        <w:tab/>
        <w:t xml:space="preserve">o$ </w:t>
      </w:r>
      <w:r>
        <w:rPr>
          <w:rFonts w:ascii="Consolas" w:hAnsi="Consolas"/>
          <w:color w:val="B45309"/>
          <w:sz w:val="18"/>
        </w:rPr>
        <w:t>[PATIENT_A]</w:t>
      </w:r>
    </w:p>
    <w:p>
      <w:pPr>
        <w:pStyle w:val="ListBullet"/>
        <w:spacing w:before="20" w:after="40"/>
      </w:pPr>
      <w:r>
        <w:rPr>
          <w:rFonts w:ascii="Calibri" w:hAnsi="Calibri"/>
          <w:color w:val="1E293B"/>
          <w:sz w:val="20"/>
        </w:rPr>
        <w:t>Medical Record Number (MRN) $</w:t>
        <w:tab/>
        <w:t xml:space="preserve">o$ </w:t>
      </w:r>
      <w:r>
        <w:rPr>
          <w:rFonts w:ascii="Consolas" w:hAnsi="Consolas"/>
          <w:color w:val="B45309"/>
          <w:sz w:val="18"/>
        </w:rPr>
        <w:t>[MRN_1]</w:t>
      </w:r>
    </w:p>
    <w:p>
      <w:pPr>
        <w:pStyle w:val="ListBullet"/>
        <w:spacing w:before="20" w:after="40"/>
      </w:pPr>
      <w:r>
        <w:rPr>
          <w:rFonts w:ascii="Calibri" w:hAnsi="Calibri"/>
          <w:color w:val="1E293B"/>
          <w:sz w:val="20"/>
        </w:rPr>
        <w:t>Dates of Service / DOB $</w:t>
        <w:tab/>
        <w:t xml:space="preserve">o$ </w:t>
      </w:r>
      <w:r>
        <w:rPr>
          <w:rFonts w:ascii="Consolas" w:hAnsi="Consolas"/>
          <w:color w:val="B45309"/>
          <w:sz w:val="18"/>
        </w:rPr>
        <w:t>[DATE_1]</w:t>
      </w:r>
      <w:r>
        <w:rPr>
          <w:rFonts w:ascii="Calibri" w:hAnsi="Calibri"/>
          <w:color w:val="1E293B"/>
          <w:sz w:val="20"/>
        </w:rPr>
        <w:t xml:space="preserve">, </w:t>
      </w:r>
      <w:r>
        <w:rPr>
          <w:rFonts w:ascii="Consolas" w:hAnsi="Consolas"/>
          <w:color w:val="B45309"/>
          <w:sz w:val="18"/>
        </w:rPr>
        <w:t>[DATE_2]</w:t>
      </w:r>
    </w:p>
    <w:p>
      <w:pPr>
        <w:pStyle w:val="ListBullet"/>
        <w:spacing w:before="20" w:after="40"/>
      </w:pPr>
      <w:r>
        <w:rPr>
          <w:rFonts w:ascii="Calibri" w:hAnsi="Calibri"/>
          <w:color w:val="1E293B"/>
          <w:sz w:val="20"/>
        </w:rPr>
        <w:t>Clinic Location $</w:t>
        <w:tab/>
        <w:t xml:space="preserve">o$ </w:t>
      </w:r>
      <w:r>
        <w:rPr>
          <w:rFonts w:ascii="Consolas" w:hAnsi="Consolas"/>
          <w:color w:val="B45309"/>
          <w:sz w:val="18"/>
        </w:rPr>
        <w:t>[CLINIC_A]</w:t>
      </w:r>
    </w:p>
    <w:p>
      <w:pPr>
        <w:spacing w:before="0" w:after="80" w:line="276" w:lineRule="auto"/>
      </w:pPr>
      <w:r>
        <w:rPr>
          <w:rFonts w:ascii="Calibri" w:hAnsi="Calibri"/>
          <w:color w:val="1E293B"/>
          <w:sz w:val="20"/>
        </w:rPr>
        <w:t>Only de-identified clinical tokens and procedural CDT codes enter prompt construction.</w:t>
      </w:r>
    </w:p>
    <w:p>
      <w:pPr>
        <w:keepNext/>
        <w:spacing w:before="160" w:after="40"/>
      </w:pPr>
      <w:r>
        <w:rPr>
          <w:rFonts w:ascii="Calibri" w:hAnsi="Calibri"/>
          <w:b/>
          <w:color w:val="475569"/>
          <w:sz w:val="22"/>
        </w:rPr>
        <w:t>Step 3: BM25 Lexical Retrieval &amp; Decimal Evidence Extraction (`agents/retrieval.py`)</w:t>
      </w:r>
    </w:p>
    <w:p>
      <w:pPr>
        <w:spacing w:before="0" w:after="80" w:line="276" w:lineRule="auto"/>
      </w:pPr>
      <w:r>
        <w:rPr>
          <w:rFonts w:ascii="Calibri" w:hAnsi="Calibri"/>
          <w:color w:val="1E293B"/>
          <w:sz w:val="20"/>
        </w:rPr>
        <w:t xml:space="preserve">Rather than relying on non-deterministic dense embeddings that hallucinate between adjacent CDT codes (e.g., </w:t>
      </w:r>
      <w:r>
        <w:rPr>
          <w:rFonts w:ascii="Consolas" w:hAnsi="Consolas"/>
          <w:color w:val="B45309"/>
          <w:sz w:val="18"/>
        </w:rPr>
        <w:t>D4341</w:t>
      </w:r>
      <w:r>
        <w:rPr>
          <w:rFonts w:ascii="Calibri" w:hAnsi="Calibri"/>
          <w:color w:val="1E293B"/>
          <w:sz w:val="20"/>
        </w:rPr>
        <w:t xml:space="preserve"> quadrant scaling vs </w:t>
      </w:r>
      <w:r>
        <w:rPr>
          <w:rFonts w:ascii="Consolas" w:hAnsi="Consolas"/>
          <w:color w:val="B45309"/>
          <w:sz w:val="18"/>
        </w:rPr>
        <w:t>D4910</w:t>
      </w:r>
      <w:r>
        <w:rPr>
          <w:rFonts w:ascii="Calibri" w:hAnsi="Calibri"/>
          <w:color w:val="1E293B"/>
          <w:sz w:val="20"/>
        </w:rPr>
        <w:t xml:space="preserve"> periodontal maintenance), Clove OS employs a deterministic </w:t>
      </w:r>
      <w:r>
        <w:rPr>
          <w:rFonts w:ascii="Calibri" w:hAnsi="Calibri"/>
          <w:b/>
          <w:color w:val="1E293B"/>
          <w:sz w:val="20"/>
        </w:rPr>
        <w:t>BM25 lexical ranker</w:t>
      </w:r>
      <w:r>
        <w:rPr>
          <w:rFonts w:ascii="Calibri" w:hAnsi="Calibri"/>
          <w:color w:val="1E293B"/>
          <w:sz w:val="20"/>
        </w:rPr>
        <w:t>.</w:t>
      </w:r>
    </w:p>
    <w:p>
      <w:pPr>
        <w:pStyle w:val="ListBullet"/>
        <w:spacing w:before="20" w:after="40"/>
      </w:pPr>
      <w:r>
        <w:rPr>
          <w:rFonts w:ascii="Calibri" w:hAnsi="Calibri"/>
          <w:b/>
          <w:color w:val="1E293B"/>
          <w:sz w:val="20"/>
        </w:rPr>
        <w:t>Decimal Preservation</w:t>
      </w:r>
      <w:r>
        <w:rPr>
          <w:rFonts w:ascii="Calibri" w:hAnsi="Calibri"/>
          <w:color w:val="1E293B"/>
          <w:sz w:val="20"/>
        </w:rPr>
        <w:t>: A specialized regex tokenizer (</w:t>
      </w:r>
      <w:r>
        <w:rPr>
          <w:rFonts w:ascii="Consolas" w:hAnsi="Consolas"/>
          <w:color w:val="B45309"/>
          <w:sz w:val="18"/>
        </w:rPr>
        <w:t>split_sentences</w:t>
      </w:r>
      <w:r>
        <w:rPr>
          <w:rFonts w:ascii="Calibri" w:hAnsi="Calibri"/>
          <w:color w:val="1E293B"/>
          <w:sz w:val="20"/>
        </w:rPr>
        <w:t xml:space="preserve">) ensures clinical pocket depths (e.g., </w:t>
      </w:r>
      <w:r>
        <w:rPr>
          <w:rFonts w:ascii="Consolas" w:hAnsi="Consolas"/>
          <w:color w:val="B45309"/>
          <w:sz w:val="18"/>
        </w:rPr>
        <w:t>4.5mm</w:t>
      </w:r>
      <w:r>
        <w:rPr>
          <w:rFonts w:ascii="Calibri" w:hAnsi="Calibri"/>
          <w:color w:val="1E293B"/>
          <w:sz w:val="20"/>
        </w:rPr>
        <w:t xml:space="preserve">, </w:t>
      </w:r>
      <w:r>
        <w:rPr>
          <w:rFonts w:ascii="Consolas" w:hAnsi="Consolas"/>
          <w:color w:val="B45309"/>
          <w:sz w:val="18"/>
        </w:rPr>
        <w:t>5.0mm</w:t>
      </w:r>
      <w:r>
        <w:rPr>
          <w:rFonts w:ascii="Calibri" w:hAnsi="Calibri"/>
          <w:color w:val="1E293B"/>
          <w:sz w:val="20"/>
        </w:rPr>
        <w:t>) are not fractured across sentence boundaries.</w:t>
      </w:r>
    </w:p>
    <w:p>
      <w:pPr>
        <w:pStyle w:val="ListBullet"/>
        <w:spacing w:before="20" w:after="40"/>
      </w:pPr>
      <w:r>
        <w:rPr>
          <w:rFonts w:ascii="Calibri" w:hAnsi="Calibri"/>
          <w:b/>
          <w:color w:val="1E293B"/>
          <w:sz w:val="20"/>
        </w:rPr>
        <w:t>Quantitative Extraction</w:t>
      </w:r>
      <w:r>
        <w:rPr>
          <w:rFonts w:ascii="Calibri" w:hAnsi="Calibri"/>
          <w:color w:val="1E293B"/>
          <w:sz w:val="20"/>
        </w:rPr>
        <w:t xml:space="preserve">: The </w:t>
      </w:r>
      <w:r>
        <w:rPr>
          <w:rFonts w:ascii="Consolas" w:hAnsi="Consolas"/>
          <w:color w:val="B45309"/>
          <w:sz w:val="18"/>
        </w:rPr>
        <w:t>EvidenceExtractor</w:t>
      </w:r>
      <w:r>
        <w:rPr>
          <w:rFonts w:ascii="Calibri" w:hAnsi="Calibri"/>
          <w:color w:val="1E293B"/>
          <w:sz w:val="20"/>
        </w:rPr>
        <w:t xml:space="preserve"> validates that periodontal probing charts exhibit $\ge 5</w:t>
        <w:tab/>
        <w:t xml:space="preserve">ext{mm}$ pockets across at least 4 teeth per quadrant before validating a </w:t>
      </w:r>
      <w:r>
        <w:rPr>
          <w:rFonts w:ascii="Consolas" w:hAnsi="Consolas"/>
          <w:color w:val="B45309"/>
          <w:sz w:val="18"/>
        </w:rPr>
        <w:t>D4341</w:t>
      </w:r>
      <w:r>
        <w:rPr>
          <w:rFonts w:ascii="Calibri" w:hAnsi="Calibri"/>
          <w:color w:val="1E293B"/>
          <w:sz w:val="20"/>
        </w:rPr>
        <w:t xml:space="preserve"> appeal.</w:t>
      </w:r>
    </w:p>
    <w:p>
      <w:pPr>
        <w:keepNext/>
        <w:spacing w:before="160" w:after="40"/>
      </w:pPr>
      <w:r>
        <w:rPr>
          <w:rFonts w:ascii="Calibri" w:hAnsi="Calibri"/>
          <w:b/>
          <w:color w:val="475569"/>
          <w:sz w:val="22"/>
        </w:rPr>
        <w:t>Step 4: Plan-Specific Grounded Legal Drafting (`agents/llm.py`)</w:t>
      </w:r>
    </w:p>
    <w:p>
      <w:pPr>
        <w:spacing w:before="0" w:after="80" w:line="276" w:lineRule="auto"/>
      </w:pPr>
      <w:r>
        <w:rPr>
          <w:rFonts w:ascii="Calibri" w:hAnsi="Calibri"/>
          <w:color w:val="1E293B"/>
          <w:sz w:val="20"/>
        </w:rPr>
        <w:t>Appeals are generated with exact statutory citations matching the patient's plan structure:</w:t>
      </w:r>
    </w:p>
    <w:p>
      <w:pPr>
        <w:pStyle w:val="ListBullet"/>
        <w:spacing w:before="20" w:after="40"/>
      </w:pPr>
      <w:r>
        <w:rPr>
          <w:rFonts w:ascii="Calibri" w:hAnsi="Calibri"/>
          <w:b/>
          <w:color w:val="1E293B"/>
          <w:sz w:val="20"/>
        </w:rPr>
        <w:t>ERISA Self-Funded Plans</w:t>
      </w:r>
      <w:r>
        <w:rPr>
          <w:rFonts w:ascii="Calibri" w:hAnsi="Calibri"/>
          <w:color w:val="1E293B"/>
          <w:sz w:val="20"/>
        </w:rPr>
        <w:t xml:space="preserve">: Cites federal rights under </w:t>
      </w:r>
      <w:r>
        <w:rPr>
          <w:rFonts w:ascii="Calibri" w:hAnsi="Calibri"/>
          <w:b/>
          <w:color w:val="1E293B"/>
          <w:sz w:val="20"/>
        </w:rPr>
        <w:t>ERISA § 503 (29 U.S.C. § 1133)</w:t>
      </w:r>
      <w:r>
        <w:rPr>
          <w:rFonts w:ascii="Calibri" w:hAnsi="Calibri"/>
          <w:color w:val="1E293B"/>
          <w:sz w:val="20"/>
        </w:rPr>
        <w:t xml:space="preserve"> and </w:t>
      </w:r>
      <w:r>
        <w:rPr>
          <w:rFonts w:ascii="Calibri" w:hAnsi="Calibri"/>
          <w:b/>
          <w:color w:val="1E293B"/>
          <w:sz w:val="20"/>
        </w:rPr>
        <w:t>29 C.F.R. § 2560.503-1</w:t>
      </w:r>
      <w:r>
        <w:rPr>
          <w:rFonts w:ascii="Calibri" w:hAnsi="Calibri"/>
          <w:color w:val="1E293B"/>
          <w:sz w:val="20"/>
        </w:rPr>
        <w:t>, invoking mandatory 30-day appeal review deadlines.</w:t>
      </w:r>
    </w:p>
    <w:p>
      <w:pPr>
        <w:pStyle w:val="ListBullet"/>
        <w:spacing w:before="20" w:after="40"/>
      </w:pPr>
      <w:r>
        <w:rPr>
          <w:rFonts w:ascii="Calibri" w:hAnsi="Calibri"/>
          <w:b/>
          <w:color w:val="1E293B"/>
          <w:sz w:val="20"/>
        </w:rPr>
        <w:t>Commercial Fully-Insured Plans</w:t>
      </w:r>
      <w:r>
        <w:rPr>
          <w:rFonts w:ascii="Calibri" w:hAnsi="Calibri"/>
          <w:color w:val="1E293B"/>
          <w:sz w:val="20"/>
        </w:rPr>
        <w:t xml:space="preserve">: Cites state-specific Prompt Payment statutes (e.g., </w:t>
      </w:r>
      <w:r>
        <w:rPr>
          <w:rFonts w:ascii="Calibri" w:hAnsi="Calibri"/>
          <w:b/>
          <w:color w:val="1E293B"/>
          <w:sz w:val="20"/>
        </w:rPr>
        <w:t>California Insurance Code § 10123.13</w:t>
      </w:r>
      <w:r>
        <w:rPr>
          <w:rFonts w:ascii="Calibri" w:hAnsi="Calibri"/>
          <w:color w:val="1E293B"/>
          <w:sz w:val="20"/>
        </w:rPr>
        <w:t xml:space="preserve"> or Texas Insurance Code § 1301.103), penalizing delayed claims with statutory interest.</w:t>
      </w:r>
    </w:p>
    <w:p>
      <w:pPr>
        <w:keepNext/>
        <w:spacing w:before="160" w:after="40"/>
      </w:pPr>
      <w:r>
        <w:rPr>
          <w:rFonts w:ascii="Calibri" w:hAnsi="Calibri"/>
          <w:b/>
          <w:color w:val="475569"/>
          <w:sz w:val="22"/>
        </w:rPr>
        <w:t>Step 5: Adversarial Grounding Verification (`eval/grounding.py`)</w:t>
      </w:r>
    </w:p>
    <w:p>
      <w:pPr>
        <w:spacing w:before="0" w:after="80" w:line="276" w:lineRule="auto"/>
      </w:pPr>
      <w:r>
        <w:rPr>
          <w:rFonts w:ascii="Calibri" w:hAnsi="Calibri"/>
          <w:color w:val="1E293B"/>
          <w:sz w:val="20"/>
        </w:rPr>
        <w:t>Before reaching a human, the appeal letter is interrogated by an adversarial validator:</w:t>
      </w:r>
    </w:p>
    <w:p>
      <w:pPr>
        <w:pStyle w:val="ListNumber"/>
        <w:spacing w:before="40" w:after="40"/>
      </w:pPr>
      <w:r>
        <w:rPr>
          <w:rFonts w:ascii="Calibri" w:hAnsi="Calibri"/>
          <w:b/>
          <w:color w:val="1E293B"/>
          <w:sz w:val="20"/>
        </w:rPr>
        <w:t>Verbatim Quote Assertions</w:t>
      </w:r>
      <w:r>
        <w:rPr>
          <w:rFonts w:ascii="Calibri" w:hAnsi="Calibri"/>
          <w:color w:val="1E293B"/>
          <w:sz w:val="20"/>
        </w:rPr>
        <w:t>: Every clinical statement wrapped in quotation marks must exist as a verbatim substring in the provider's contemporaneous chart notes. Hallucinated doctor quotes fail with a hard exception.</w:t>
      </w:r>
    </w:p>
    <w:p>
      <w:pPr>
        <w:pStyle w:val="ListNumber"/>
        <w:spacing w:before="40" w:after="40"/>
      </w:pPr>
      <w:r>
        <w:rPr>
          <w:rFonts w:ascii="Calibri" w:hAnsi="Calibri"/>
          <w:b/>
          <w:color w:val="1E293B"/>
          <w:sz w:val="20"/>
        </w:rPr>
        <w:t>Financial Demands Check</w:t>
      </w:r>
      <w:r>
        <w:rPr>
          <w:rFonts w:ascii="Calibri" w:hAnsi="Calibri"/>
          <w:color w:val="1E293B"/>
          <w:sz w:val="20"/>
        </w:rPr>
        <w:t>: Settlement demands must match the contractual allowed fee ($210.00), preventing rejected claims caused by billing gross chair fees ($320.00).</w:t>
      </w:r>
    </w:p>
    <w:p>
      <w:pPr>
        <w:pStyle w:val="ListNumber"/>
        <w:spacing w:before="40" w:after="40"/>
      </w:pPr>
      <w:r>
        <w:rPr>
          <w:rFonts w:ascii="Calibri" w:hAnsi="Calibri"/>
          <w:b/>
          <w:color w:val="1E293B"/>
          <w:sz w:val="20"/>
        </w:rPr>
        <w:t>Jurisdiction Verification</w:t>
      </w:r>
      <w:r>
        <w:rPr>
          <w:rFonts w:ascii="Calibri" w:hAnsi="Calibri"/>
          <w:color w:val="1E293B"/>
          <w:sz w:val="20"/>
        </w:rPr>
        <w:t>: Verifies ERISA citations are strictly prohibited from commercial fully-insured claims.</w:t>
      </w:r>
    </w:p>
    <w:p>
      <w:pPr>
        <w:pStyle w:val="ListNumber"/>
        <w:spacing w:before="40" w:after="40"/>
      </w:pPr>
      <w:r>
        <w:rPr>
          <w:rFonts w:ascii="Calibri" w:hAnsi="Calibri"/>
          <w:b/>
          <w:color w:val="1E293B"/>
          <w:sz w:val="20"/>
        </w:rPr>
        <w:t>Anti-Tamper Lock</w:t>
      </w:r>
      <w:r>
        <w:rPr>
          <w:rFonts w:ascii="Calibri" w:hAnsi="Calibri"/>
          <w:color w:val="1E293B"/>
          <w:sz w:val="20"/>
        </w:rPr>
        <w:t>: If a human reviewer edits the draft to insert unsupported clinical facts, the system blocks the commit until facts are corroborated.</w:t>
      </w:r>
    </w:p>
    <w:p>
      <w:pPr>
        <w:keepNext/>
        <w:spacing w:before="160" w:after="40"/>
      </w:pPr>
      <w:r>
        <w:rPr>
          <w:rFonts w:ascii="Calibri" w:hAnsi="Calibri"/>
          <w:b/>
          <w:color w:val="475569"/>
          <w:sz w:val="22"/>
        </w:rPr>
        <w:t>Step 6: Human-in-the-Loop Audit &amp; Open Dental Commit (`agents/rcm_supervisor.py`)</w:t>
      </w:r>
    </w:p>
    <w:p>
      <w:pPr>
        <w:spacing w:before="0" w:after="80" w:line="276" w:lineRule="auto"/>
      </w:pPr>
      <w:r>
        <w:rPr>
          <w:rFonts w:ascii="Calibri" w:hAnsi="Calibri"/>
          <w:color w:val="1E293B"/>
          <w:sz w:val="20"/>
        </w:rPr>
        <w:t xml:space="preserve">Implemented as a LangGraph </w:t>
      </w:r>
      <w:r>
        <w:rPr>
          <w:rFonts w:ascii="Consolas" w:hAnsi="Consolas"/>
          <w:color w:val="B45309"/>
          <w:sz w:val="18"/>
        </w:rPr>
        <w:t>StateGraph</w:t>
      </w:r>
      <w:r>
        <w:rPr>
          <w:rFonts w:ascii="Calibri" w:hAnsi="Calibri"/>
          <w:color w:val="1E293B"/>
          <w:sz w:val="20"/>
        </w:rPr>
        <w:t>:</w:t>
      </w:r>
    </w:p>
    <w:p>
      <w:pPr>
        <w:pStyle w:val="ListBullet"/>
        <w:spacing w:before="20" w:after="40"/>
      </w:pPr>
      <w:r>
        <w:rPr>
          <w:rFonts w:ascii="Calibri" w:hAnsi="Calibri"/>
          <w:color w:val="1E293B"/>
          <w:sz w:val="20"/>
        </w:rPr>
        <w:t>The execution pauses at a checkpointed review node.</w:t>
      </w:r>
    </w:p>
    <w:p>
      <w:pPr>
        <w:pStyle w:val="ListBullet"/>
        <w:spacing w:before="20" w:after="40"/>
      </w:pPr>
      <w:r>
        <w:rPr>
          <w:rFonts w:ascii="Calibri" w:hAnsi="Calibri"/>
          <w:color w:val="1E293B"/>
          <w:sz w:val="20"/>
        </w:rPr>
        <w:t>The billing supervisor reviews the generated diff, clinical quotes, and policy citations in Streamlit.</w:t>
      </w:r>
    </w:p>
    <w:p>
      <w:pPr>
        <w:pStyle w:val="ListBullet"/>
        <w:spacing w:before="20" w:after="40"/>
      </w:pPr>
      <w:r>
        <w:rPr>
          <w:rFonts w:ascii="Calibri" w:hAnsi="Calibri"/>
          <w:color w:val="1E293B"/>
          <w:sz w:val="20"/>
        </w:rPr>
        <w:t xml:space="preserve">Upon clicking </w:t>
      </w:r>
      <w:r>
        <w:rPr>
          <w:rFonts w:ascii="Calibri" w:hAnsi="Calibri"/>
          <w:b/>
          <w:color w:val="1E293B"/>
          <w:sz w:val="20"/>
        </w:rPr>
        <w:t>Approve</w:t>
      </w:r>
      <w:r>
        <w:rPr>
          <w:rFonts w:ascii="Calibri" w:hAnsi="Calibri"/>
          <w:color w:val="1E293B"/>
          <w:sz w:val="20"/>
        </w:rPr>
        <w:t>, the reviewer's ID (</w:t>
      </w:r>
      <w:r>
        <w:rPr>
          <w:rFonts w:ascii="Consolas" w:hAnsi="Consolas"/>
          <w:color w:val="B45309"/>
          <w:sz w:val="18"/>
        </w:rPr>
        <w:t>REV-7702</w:t>
      </w:r>
      <w:r>
        <w:rPr>
          <w:rFonts w:ascii="Calibri" w:hAnsi="Calibri"/>
          <w:color w:val="1E293B"/>
          <w:sz w:val="20"/>
        </w:rPr>
        <w:t xml:space="preserve">) and timestamp are logged to an immutable audit ledger, committing the claim status directly to Open Dental's </w:t>
      </w:r>
      <w:r>
        <w:rPr>
          <w:rFonts w:ascii="Consolas" w:hAnsi="Consolas"/>
          <w:color w:val="B45309"/>
          <w:sz w:val="18"/>
        </w:rPr>
        <w:t>ClaimProc</w:t>
      </w:r>
      <w:r>
        <w:rPr>
          <w:rFonts w:ascii="Calibri" w:hAnsi="Calibri"/>
          <w:color w:val="1E293B"/>
          <w:sz w:val="20"/>
        </w:rPr>
        <w:t xml:space="preserve"> table.</w:t>
      </w:r>
    </w:p>
    <w:p>
      <w:pPr>
        <w:spacing w:before="120" w:after="160"/>
        <w:pBdr>
          <w:bottom w:val="single" w:sz="6" w:space="1" w:color="CBD5E1"/>
        </w:pBdr>
      </w:pPr>
    </w:p>
    <w:p>
      <w:pPr>
        <w:keepNext/>
        <w:spacing w:before="280" w:after="60"/>
      </w:pPr>
      <w:r>
        <w:rPr>
          <w:rFonts w:ascii="Calibri" w:hAnsi="Calibri"/>
          <w:b/>
          <w:color w:val="1A365D"/>
          <w:sz w:val="28"/>
        </w:rPr>
        <w:t>4. Frontier Token Caching Economics</w:t>
      </w:r>
    </w:p>
    <w:p>
      <w:pPr>
        <w:spacing w:before="0" w:after="80" w:line="276" w:lineRule="auto"/>
      </w:pPr>
      <w:r>
        <w:rPr>
          <w:rFonts w:ascii="Calibri" w:hAnsi="Calibri"/>
          <w:color w:val="1E293B"/>
          <w:sz w:val="20"/>
        </w:rPr>
        <w:t>To operate cost-effectively across 100 dental offices, Clove OS leverages Anthropic-style ephemeral prompt caching.</w:t>
      </w:r>
    </w:p>
    <w:p>
      <w:pPr>
        <w:keepNext/>
        <w:spacing w:before="200" w:after="40"/>
      </w:pPr>
      <w:r>
        <w:rPr>
          <w:rFonts w:ascii="Calibri" w:hAnsi="Calibri"/>
          <w:b/>
          <w:color w:val="0D9488"/>
          <w:sz w:val="24"/>
        </w:rPr>
        <w:t>4.1 The Economics of Prefix Caching</w:t>
      </w:r>
    </w:p>
    <w:p>
      <w:pPr>
        <w:pStyle w:val="ListBullet"/>
        <w:spacing w:before="20" w:after="40"/>
      </w:pPr>
      <w:r>
        <w:rPr>
          <w:rFonts w:ascii="Calibri" w:hAnsi="Calibri"/>
          <w:b/>
          <w:color w:val="1E293B"/>
          <w:sz w:val="20"/>
        </w:rPr>
        <w:t>Static Prompt Prefix</w:t>
      </w:r>
      <w:r>
        <w:rPr>
          <w:rFonts w:ascii="Calibri" w:hAnsi="Calibri"/>
          <w:color w:val="1E293B"/>
          <w:sz w:val="20"/>
        </w:rPr>
        <w:t xml:space="preserve">: System instructions, clinical guidelines, CDT policy definitions, and statutory citation templates exceed the </w:t>
      </w:r>
      <w:r>
        <w:rPr>
          <w:rFonts w:ascii="Calibri" w:hAnsi="Calibri"/>
          <w:b/>
          <w:color w:val="1E293B"/>
          <w:sz w:val="20"/>
        </w:rPr>
        <w:t>1,024-token minimum caching threshold</w:t>
      </w:r>
      <w:r>
        <w:rPr>
          <w:rFonts w:ascii="Calibri" w:hAnsi="Calibri"/>
          <w:color w:val="1E293B"/>
          <w:sz w:val="20"/>
        </w:rPr>
        <w:t xml:space="preserve"> (~1,350 tokens).</w:t>
      </w:r>
    </w:p>
    <w:p>
      <w:pPr>
        <w:pStyle w:val="ListBullet"/>
        <w:spacing w:before="20" w:after="40"/>
      </w:pPr>
      <w:r>
        <w:rPr>
          <w:rFonts w:ascii="Calibri" w:hAnsi="Calibri"/>
          <w:b/>
          <w:color w:val="1E293B"/>
          <w:sz w:val="20"/>
        </w:rPr>
        <w:t>Pricing Parameters</w:t>
      </w:r>
      <w:r>
        <w:rPr>
          <w:rFonts w:ascii="Calibri" w:hAnsi="Calibri"/>
          <w:color w:val="1E293B"/>
          <w:sz w:val="20"/>
        </w:rPr>
        <w:t>:</w:t>
      </w:r>
    </w:p>
    <w:p>
      <w:pPr>
        <w:pStyle w:val="ListBullet"/>
        <w:spacing w:before="20" w:after="40"/>
      </w:pPr>
      <w:r>
        <w:rPr>
          <w:rFonts w:ascii="Calibri" w:hAnsi="Calibri"/>
          <w:color w:val="1E293B"/>
          <w:sz w:val="20"/>
        </w:rPr>
        <w:t>Base Input Cost: $3.00 / 1M tokens ($0.000003/token)</w:t>
      </w:r>
    </w:p>
    <w:p>
      <w:pPr>
        <w:pStyle w:val="ListBullet"/>
        <w:spacing w:before="20" w:after="40"/>
      </w:pPr>
      <w:r>
        <w:rPr>
          <w:rFonts w:ascii="Calibri" w:hAnsi="Calibri"/>
          <w:color w:val="1E293B"/>
          <w:sz w:val="20"/>
        </w:rPr>
        <w:t>Cache Write Surcharge: $3.75 / 1M tokens ($1.25</w:t>
        <w:tab/>
        <w:t>imes$ base)</w:t>
      </w:r>
    </w:p>
    <w:p>
      <w:pPr>
        <w:pStyle w:val="ListBullet"/>
        <w:spacing w:before="20" w:after="40"/>
      </w:pPr>
      <w:r>
        <w:rPr>
          <w:rFonts w:ascii="Calibri" w:hAnsi="Calibri"/>
          <w:color w:val="1E293B"/>
          <w:sz w:val="20"/>
        </w:rPr>
        <w:t>Cache Read Cost: $0.30 / 1M tokens ($0.10</w:t>
        <w:tab/>
        <w:t xml:space="preserve">imes$ base — </w:t>
      </w:r>
      <w:r>
        <w:rPr>
          <w:rFonts w:ascii="Calibri" w:hAnsi="Calibri"/>
          <w:b/>
          <w:color w:val="1E293B"/>
          <w:sz w:val="20"/>
        </w:rPr>
        <w:t>90% discount</w:t>
      </w:r>
      <w:r>
        <w:rPr>
          <w:rFonts w:ascii="Calibri" w:hAnsi="Calibri"/>
          <w:color w:val="1E293B"/>
          <w:sz w:val="20"/>
        </w:rPr>
        <w:t>)</w:t>
      </w:r>
    </w:p>
    <w:p>
      <w:pPr>
        <w:pStyle w:val="ListBullet"/>
        <w:spacing w:before="20" w:after="40"/>
      </w:pPr>
      <w:r>
        <w:rPr>
          <w:rFonts w:ascii="Calibri" w:hAnsi="Calibri"/>
          <w:color w:val="1E293B"/>
          <w:sz w:val="20"/>
        </w:rPr>
        <w:t>Output Generation: $15.00 / 1M tokens</w:t>
      </w:r>
    </w:p>
    <w:p>
      <w:pPr>
        <w:keepNext/>
        <w:spacing w:before="200" w:after="40"/>
      </w:pPr>
      <w:r>
        <w:rPr>
          <w:rFonts w:ascii="Calibri" w:hAnsi="Calibri"/>
          <w:b/>
          <w:color w:val="0D9488"/>
          <w:sz w:val="24"/>
        </w:rPr>
        <w:t>4.2 Break-Even Proof</w:t>
      </w:r>
    </w:p>
    <w:p>
      <w:pPr>
        <w:spacing w:before="0" w:after="80" w:line="276" w:lineRule="auto"/>
      </w:pPr>
      <w:r>
        <w:rPr>
          <w:rFonts w:ascii="Calibri" w:hAnsi="Calibri"/>
          <w:color w:val="1E293B"/>
          <w:sz w:val="20"/>
        </w:rPr>
        <w:t>$$</w:t>
        <w:tab/>
        <w:t>ext{Cost}_{</w:t>
        <w:tab/>
        <w:t xml:space="preserve">ext{uncached}} = 2 </w:t>
        <w:tab/>
        <w:t>imes 1.0 = 2.0</w:t>
        <w:tab/>
        <w:t>ext{ units}$$</w:t>
      </w:r>
    </w:p>
    <w:p>
      <w:pPr>
        <w:spacing w:before="0" w:after="80" w:line="276" w:lineRule="auto"/>
      </w:pPr>
      <w:r>
        <w:rPr>
          <w:rFonts w:ascii="Calibri" w:hAnsi="Calibri"/>
          <w:color w:val="1E293B"/>
          <w:sz w:val="20"/>
        </w:rPr>
        <w:t>$$</w:t>
        <w:tab/>
        <w:t>ext{Cost}_{</w:t>
        <w:tab/>
        <w:t>ext{cached}} = 1.25 (</w:t>
        <w:tab/>
        <w:t>ext{write}) + 0.10 (</w:t>
        <w:tab/>
        <w:t>ext{first read}) = 1.35</w:t>
        <w:tab/>
        <w:t>ext{ units}$$</w:t>
      </w:r>
    </w:p>
    <w:p>
      <w:pPr>
        <w:spacing w:before="0" w:after="80" w:line="276" w:lineRule="auto"/>
      </w:pPr>
      <w:r>
        <w:rPr>
          <w:rFonts w:ascii="Calibri" w:hAnsi="Calibri"/>
          <w:color w:val="1E293B"/>
          <w:sz w:val="20"/>
        </w:rPr>
        <w:t xml:space="preserve">Because $1.35 &lt; 2.00$, prompt caching breaks even on the </w:t>
      </w:r>
      <w:r>
        <w:rPr>
          <w:rFonts w:ascii="Calibri" w:hAnsi="Calibri"/>
          <w:b/>
          <w:color w:val="1E293B"/>
          <w:sz w:val="20"/>
        </w:rPr>
        <w:t>very first read</w:t>
      </w:r>
      <w:r>
        <w:rPr>
          <w:rFonts w:ascii="Calibri" w:hAnsi="Calibri"/>
          <w:color w:val="1E293B"/>
          <w:sz w:val="20"/>
        </w:rPr>
        <w:t>.</w:t>
      </w:r>
    </w:p>
    <w:p>
      <w:pPr>
        <w:keepNext/>
        <w:spacing w:before="200" w:after="40"/>
      </w:pPr>
      <w:r>
        <w:rPr>
          <w:rFonts w:ascii="Calibri" w:hAnsi="Calibri"/>
          <w:b/>
          <w:color w:val="0D9488"/>
          <w:sz w:val="24"/>
        </w:rPr>
        <w:t>4.3 Measured Financial Impact Across 100 Offices</w:t>
      </w:r>
    </w:p>
    <w:p>
      <w:pPr>
        <w:spacing w:before="0" w:after="80" w:line="276" w:lineRule="auto"/>
      </w:pPr>
      <w:r>
        <w:rPr>
          <w:rFonts w:ascii="Calibri" w:hAnsi="Calibri"/>
          <w:color w:val="1E293B"/>
          <w:sz w:val="20"/>
        </w:rPr>
        <w:t>Assuming 2,000 monthly denials requiring drafting:</w:t>
      </w:r>
    </w:p>
    <w:p>
      <w:pPr>
        <w:pStyle w:val="ListBullet"/>
        <w:spacing w:before="20" w:after="40"/>
      </w:pPr>
      <w:r>
        <w:rPr>
          <w:rFonts w:ascii="Calibri" w:hAnsi="Calibri"/>
          <w:b/>
          <w:color w:val="1E293B"/>
          <w:sz w:val="20"/>
        </w:rPr>
        <w:t>Uncached Execution</w:t>
      </w:r>
      <w:r>
        <w:rPr>
          <w:rFonts w:ascii="Calibri" w:hAnsi="Calibri"/>
          <w:color w:val="1E293B"/>
          <w:sz w:val="20"/>
        </w:rPr>
        <w:t>:</w:t>
      </w:r>
    </w:p>
    <w:p>
      <w:pPr>
        <w:pStyle w:val="ListBullet"/>
        <w:spacing w:before="20" w:after="40"/>
      </w:pPr>
      <w:r>
        <w:rPr>
          <w:rFonts w:ascii="Calibri" w:hAnsi="Calibri"/>
          <w:color w:val="1E293B"/>
          <w:sz w:val="20"/>
        </w:rPr>
        <w:t>2,000 claims $</w:t>
        <w:tab/>
        <w:t>imes$ (1,500 input tokens $</w:t>
        <w:tab/>
        <w:t>imes$ \$0.000003 + 450 output tokens $</w:t>
        <w:tab/>
        <w:t xml:space="preserve">imes$ \$0.000015) = </w:t>
      </w:r>
      <w:r>
        <w:rPr>
          <w:rFonts w:ascii="Calibri" w:hAnsi="Calibri"/>
          <w:b/>
          <w:color w:val="1E293B"/>
          <w:sz w:val="20"/>
        </w:rPr>
        <w:t>\$22.50 per batch</w:t>
      </w:r>
    </w:p>
    <w:p>
      <w:pPr>
        <w:pStyle w:val="ListBullet"/>
        <w:spacing w:before="20" w:after="40"/>
      </w:pPr>
      <w:r>
        <w:rPr>
          <w:rFonts w:ascii="Calibri" w:hAnsi="Calibri"/>
          <w:b/>
          <w:color w:val="1E293B"/>
          <w:sz w:val="20"/>
        </w:rPr>
        <w:t>Clove OS Cached Execution</w:t>
      </w:r>
      <w:r>
        <w:rPr>
          <w:rFonts w:ascii="Calibri" w:hAnsi="Calibri"/>
          <w:color w:val="1E293B"/>
          <w:sz w:val="20"/>
        </w:rPr>
        <w:t>:</w:t>
      </w:r>
    </w:p>
    <w:p>
      <w:pPr>
        <w:pStyle w:val="ListBullet"/>
        <w:spacing w:before="20" w:after="40"/>
      </w:pPr>
      <w:r>
        <w:rPr>
          <w:rFonts w:ascii="Calibri" w:hAnsi="Calibri"/>
          <w:color w:val="1E293B"/>
          <w:sz w:val="20"/>
        </w:rPr>
        <w:t>1 Cache Write (1,350 tokens $</w:t>
        <w:tab/>
        <w:t>imes$ \$0.00000375) + 1,999 Cache Reads (1,350 tokens $</w:t>
        <w:tab/>
        <w:t xml:space="preserve">imes$ \$0.00000030) + Dynamic Tokens = </w:t>
      </w:r>
      <w:r>
        <w:rPr>
          <w:rFonts w:ascii="Calibri" w:hAnsi="Calibri"/>
          <w:b/>
          <w:color w:val="1E293B"/>
          <w:sz w:val="20"/>
        </w:rPr>
        <w:t>\$2.71 per batch</w:t>
      </w:r>
    </w:p>
    <w:p>
      <w:pPr>
        <w:pStyle w:val="ListBullet"/>
        <w:spacing w:before="20" w:after="40"/>
      </w:pPr>
      <w:r>
        <w:rPr>
          <w:rFonts w:ascii="Calibri" w:hAnsi="Calibri"/>
          <w:b/>
          <w:color w:val="1E293B"/>
          <w:sz w:val="20"/>
        </w:rPr>
        <w:t>Attachment Routing (`CO-16`)</w:t>
      </w:r>
      <w:r>
        <w:rPr>
          <w:rFonts w:ascii="Calibri" w:hAnsi="Calibri"/>
          <w:color w:val="1E293B"/>
          <w:sz w:val="20"/>
        </w:rPr>
        <w:t>:</w:t>
      </w:r>
    </w:p>
    <w:p>
      <w:pPr>
        <w:pStyle w:val="ListBullet"/>
        <w:spacing w:before="20" w:after="40"/>
      </w:pPr>
      <w:r>
        <w:rPr>
          <w:rFonts w:ascii="Calibri" w:hAnsi="Calibri"/>
          <w:color w:val="1E293B"/>
          <w:sz w:val="20"/>
        </w:rPr>
        <w:t xml:space="preserve">600 claims routed through attachment resubmissions = </w:t>
      </w:r>
      <w:r>
        <w:rPr>
          <w:rFonts w:ascii="Calibri" w:hAnsi="Calibri"/>
          <w:b/>
          <w:color w:val="1E293B"/>
          <w:sz w:val="20"/>
        </w:rPr>
        <w:t>\$0.00</w:t>
      </w:r>
    </w:p>
    <w:p>
      <w:pPr>
        <w:pStyle w:val="ListBullet"/>
        <w:spacing w:before="20" w:after="40"/>
      </w:pPr>
      <w:r>
        <w:rPr>
          <w:rFonts w:ascii="Calibri" w:hAnsi="Calibri"/>
          <w:b/>
          <w:color w:val="1E293B"/>
          <w:sz w:val="20"/>
        </w:rPr>
        <w:t>Total Token Savings</w:t>
      </w:r>
      <w:r>
        <w:rPr>
          <w:rFonts w:ascii="Calibri" w:hAnsi="Calibri"/>
          <w:color w:val="1E293B"/>
          <w:sz w:val="20"/>
        </w:rPr>
        <w:t xml:space="preserve">: </w:t>
      </w:r>
      <w:r>
        <w:rPr>
          <w:rFonts w:ascii="Calibri" w:hAnsi="Calibri"/>
          <w:b/>
          <w:color w:val="1E293B"/>
          <w:sz w:val="20"/>
        </w:rPr>
        <w:t>87.9% reduction in LLM inference spend</w:t>
      </w:r>
      <w:r>
        <w:rPr>
          <w:rFonts w:ascii="Calibri" w:hAnsi="Calibri"/>
          <w:color w:val="1E293B"/>
          <w:sz w:val="20"/>
        </w:rPr>
        <w:t>.</w:t>
      </w:r>
    </w:p>
    <w:p>
      <w:pPr>
        <w:spacing w:before="120" w:after="160"/>
        <w:pBdr>
          <w:bottom w:val="single" w:sz="6" w:space="1" w:color="CBD5E1"/>
        </w:pBdr>
      </w:pPr>
    </w:p>
    <w:p>
      <w:pPr>
        <w:keepNext/>
        <w:spacing w:before="280" w:after="60"/>
      </w:pPr>
      <w:r>
        <w:rPr>
          <w:rFonts w:ascii="Calibri" w:hAnsi="Calibri"/>
          <w:b/>
          <w:color w:val="1A365D"/>
          <w:sz w:val="28"/>
        </w:rPr>
        <w:t>5. Operations Modules: Staffing &amp; Corp Dev</w:t>
      </w:r>
    </w:p>
    <w:p>
      <w:pPr>
        <w:keepNext/>
        <w:spacing w:before="200" w:after="40"/>
      </w:pPr>
      <w:r>
        <w:rPr>
          <w:rFonts w:ascii="Calibri" w:hAnsi="Calibri"/>
          <w:b/>
          <w:color w:val="0D9488"/>
          <w:sz w:val="24"/>
        </w:rPr>
        <w:t>5.1 Dynamic Staffing Optimization (`DeputyClient`)</w:t>
      </w:r>
    </w:p>
    <w:p>
      <w:pPr>
        <w:spacing w:before="0" w:after="80" w:line="276" w:lineRule="auto"/>
      </w:pPr>
      <w:r>
        <w:rPr>
          <w:rFonts w:ascii="Calibri" w:hAnsi="Calibri"/>
          <w:color w:val="1E293B"/>
          <w:sz w:val="20"/>
        </w:rPr>
        <w:t>Dental practices encounter severe margin leakage from unbudgeted overtime.</w:t>
      </w:r>
    </w:p>
    <w:p>
      <w:pPr>
        <w:pStyle w:val="ListBullet"/>
        <w:spacing w:before="20" w:after="40"/>
      </w:pPr>
      <w:r>
        <w:rPr>
          <w:rFonts w:ascii="Calibri" w:hAnsi="Calibri"/>
          <w:b/>
          <w:color w:val="1E293B"/>
          <w:sz w:val="20"/>
        </w:rPr>
        <w:t>The FLSA Compliance Rule</w:t>
      </w:r>
      <w:r>
        <w:rPr>
          <w:rFonts w:ascii="Calibri" w:hAnsi="Calibri"/>
          <w:color w:val="1E293B"/>
          <w:sz w:val="20"/>
        </w:rPr>
        <w:t xml:space="preserve">: Under the Fair Labor Standards Act, licensed dentists and oral surgeons are </w:t>
      </w:r>
      <w:r>
        <w:rPr>
          <w:rFonts w:ascii="Calibri" w:hAnsi="Calibri"/>
          <w:b/>
          <w:color w:val="1E293B"/>
          <w:sz w:val="20"/>
        </w:rPr>
        <w:t>exempt salaried professionals</w:t>
      </w:r>
      <w:r>
        <w:rPr>
          <w:rFonts w:ascii="Calibri" w:hAnsi="Calibri"/>
          <w:color w:val="1E293B"/>
          <w:sz w:val="20"/>
        </w:rPr>
        <w:t>. Counting overtime for dentists generates false capacity alarms.</w:t>
      </w:r>
    </w:p>
    <w:p>
      <w:pPr>
        <w:pStyle w:val="ListBullet"/>
        <w:spacing w:before="20" w:after="40"/>
      </w:pPr>
      <w:r>
        <w:rPr>
          <w:rFonts w:ascii="Calibri" w:hAnsi="Calibri"/>
          <w:b/>
          <w:color w:val="1E293B"/>
          <w:sz w:val="20"/>
        </w:rPr>
        <w:t>The Solution</w:t>
      </w:r>
      <w:r>
        <w:rPr>
          <w:rFonts w:ascii="Calibri" w:hAnsi="Calibri"/>
          <w:color w:val="1E293B"/>
          <w:sz w:val="20"/>
        </w:rPr>
        <w:t>: Clove OS filters out exempt doctors and tracks 40-hour weekly thresholds strictly for hourly personnel: Registered Dental Assistants (RDA) and Registered Dental Hygienists (RDH).</w:t>
      </w:r>
    </w:p>
    <w:p>
      <w:pPr>
        <w:pStyle w:val="ListBullet"/>
        <w:spacing w:before="20" w:after="40"/>
      </w:pPr>
      <w:r>
        <w:rPr>
          <w:rFonts w:ascii="Calibri" w:hAnsi="Calibri"/>
          <w:b/>
          <w:color w:val="1E293B"/>
          <w:sz w:val="20"/>
        </w:rPr>
        <w:t>Autonomous Rebalancing</w:t>
      </w:r>
      <w:r>
        <w:rPr>
          <w:rFonts w:ascii="Calibri" w:hAnsi="Calibri"/>
          <w:color w:val="1E293B"/>
          <w:sz w:val="20"/>
        </w:rPr>
        <w:t>: Detects operatory capacity shortfalls (e.g., Dallas Clinic running 6 chairs with only 1 hygienist) and proposes dry-run shift reassignments from nearby sister clinics.</w:t>
      </w:r>
    </w:p>
    <w:p>
      <w:pPr>
        <w:keepNext/>
        <w:spacing w:before="200" w:after="40"/>
      </w:pPr>
      <w:r>
        <w:rPr>
          <w:rFonts w:ascii="Calibri" w:hAnsi="Calibri"/>
          <w:b/>
          <w:color w:val="0D9488"/>
          <w:sz w:val="24"/>
        </w:rPr>
        <w:t>5.2 M&amp;A Pipeline Fit Scoring (`ZohoClient`)</w:t>
      </w:r>
    </w:p>
    <w:p>
      <w:pPr>
        <w:spacing w:before="0" w:after="80" w:line="276" w:lineRule="auto"/>
      </w:pPr>
      <w:r>
        <w:rPr>
          <w:rFonts w:ascii="Calibri" w:hAnsi="Calibri"/>
          <w:color w:val="1E293B"/>
          <w:sz w:val="20"/>
        </w:rPr>
        <w:t>As Clove acquires new dental practices, Corp Dev teams evaluate dozens of potential targets.</w:t>
      </w:r>
    </w:p>
    <w:p>
      <w:pPr>
        <w:pStyle w:val="ListBullet"/>
        <w:spacing w:before="20" w:after="40"/>
      </w:pPr>
      <w:r>
        <w:rPr>
          <w:rFonts w:ascii="Calibri" w:hAnsi="Calibri"/>
          <w:b/>
          <w:color w:val="1E293B"/>
          <w:sz w:val="20"/>
        </w:rPr>
        <w:t>Deterministic Scoring Model</w:t>
      </w:r>
      <w:r>
        <w:rPr>
          <w:rFonts w:ascii="Calibri" w:hAnsi="Calibri"/>
          <w:color w:val="1E293B"/>
          <w:sz w:val="20"/>
        </w:rPr>
        <w:t>: Evaluates acquisition prospects across four core dimensions:</w:t>
      </w:r>
    </w:p>
    <w:p>
      <w:pPr>
        <w:spacing w:before="0" w:after="80" w:line="276" w:lineRule="auto"/>
      </w:pPr>
      <w:r>
        <w:rPr>
          <w:rFonts w:ascii="Calibri" w:hAnsi="Calibri"/>
          <w:color w:val="1E293B"/>
          <w:sz w:val="20"/>
        </w:rPr>
        <w:t>$$</w:t>
        <w:tab/>
        <w:t xml:space="preserve">ext{Fit Score} = 0.35 </w:t>
        <w:tab/>
        <w:t xml:space="preserve">imes </w:t>
        <w:tab/>
        <w:t xml:space="preserve">ext{EBITDA Multiplier} + 0.25 </w:t>
        <w:tab/>
        <w:t xml:space="preserve">imes </w:t>
        <w:tab/>
        <w:t xml:space="preserve">ext{Patient Density} + 0.25 </w:t>
        <w:tab/>
        <w:t xml:space="preserve">imes </w:t>
        <w:tab/>
        <w:t xml:space="preserve">ext{Chair Utilization} + 0.15 </w:t>
        <w:tab/>
        <w:t xml:space="preserve">imes </w:t>
        <w:tab/>
        <w:t>ext{Synergy Potential}$$</w:t>
      </w:r>
    </w:p>
    <w:p>
      <w:pPr>
        <w:pStyle w:val="ListBullet"/>
        <w:spacing w:before="20" w:after="40"/>
      </w:pPr>
      <w:r>
        <w:rPr>
          <w:rFonts w:ascii="Calibri" w:hAnsi="Calibri"/>
          <w:b/>
          <w:color w:val="1E293B"/>
          <w:sz w:val="20"/>
        </w:rPr>
        <w:t>CRM Writeback</w:t>
      </w:r>
      <w:r>
        <w:rPr>
          <w:rFonts w:ascii="Calibri" w:hAnsi="Calibri"/>
          <w:color w:val="1E293B"/>
          <w:sz w:val="20"/>
        </w:rPr>
        <w:t>: Writes verified fit scores, median household income metrics, and operational synergy tiers directly back to Zoho CRM v8.</w:t>
      </w:r>
    </w:p>
    <w:p>
      <w:pPr>
        <w:spacing w:before="120" w:after="160"/>
        <w:pBdr>
          <w:bottom w:val="single" w:sz="6" w:space="1" w:color="CBD5E1"/>
        </w:pBdr>
      </w:pPr>
    </w:p>
    <w:p>
      <w:pPr>
        <w:keepNext/>
        <w:spacing w:before="280" w:after="60"/>
      </w:pPr>
      <w:r>
        <w:rPr>
          <w:rFonts w:ascii="Calibri" w:hAnsi="Calibri"/>
          <w:b/>
          <w:color w:val="1A365D"/>
          <w:sz w:val="28"/>
        </w:rPr>
        <w:t>6. How Impact Was Measured</w:t>
      </w:r>
    </w:p>
    <w:p>
      <w:pPr>
        <w:keepNext/>
        <w:spacing w:before="200" w:after="40"/>
      </w:pPr>
      <w:r>
        <w:rPr>
          <w:rFonts w:ascii="Calibri" w:hAnsi="Calibri"/>
          <w:b/>
          <w:color w:val="0D9488"/>
          <w:sz w:val="24"/>
        </w:rPr>
        <w:t>6.1 Quantitative Performance Metrics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412"/>
        <w:gridCol w:w="2412"/>
        <w:gridCol w:w="2412"/>
        <w:gridCol w:w="2412"/>
      </w:tblGrid>
      <w:tr>
        <w:tc>
          <w:tcPr>
            <w:tcW w:type="dxa" w:w="2412"/>
            <w:tcMar>
              <w:top w:w="100" w:type="dxa"/>
              <w:bottom w:w="100" w:type="dxa"/>
              <w:left w:w="140" w:type="dxa"/>
              <w:right w:w="140" w:type="dxa"/>
            </w:tcMar>
            <w:shd w:fill="1E3A8A"/>
          </w:tcPr>
          <w:p>
            <w:pPr>
              <w:spacing w:before="40" w:after="40"/>
              <w:jc w:val="left"/>
            </w:pPr>
            <w:r>
              <w:rPr>
                <w:rFonts w:ascii="Calibri" w:hAnsi="Calibri"/>
                <w:b/>
                <w:color w:val="FFFFFF"/>
                <w:sz w:val="19"/>
              </w:rPr>
              <w:t>Operational Metric</w:t>
            </w:r>
          </w:p>
        </w:tc>
        <w:tc>
          <w:tcPr>
            <w:tcW w:type="dxa" w:w="2412"/>
            <w:tcMar>
              <w:top w:w="100" w:type="dxa"/>
              <w:bottom w:w="100" w:type="dxa"/>
              <w:left w:w="140" w:type="dxa"/>
              <w:right w:w="140" w:type="dxa"/>
            </w:tcMar>
            <w:shd w:fill="1E3A8A"/>
          </w:tcPr>
          <w:p>
            <w:pPr>
              <w:spacing w:before="40" w:after="40"/>
              <w:jc w:val="left"/>
            </w:pPr>
            <w:r>
              <w:rPr>
                <w:rFonts w:ascii="Calibri" w:hAnsi="Calibri"/>
                <w:b/>
                <w:color w:val="FFFFFF"/>
                <w:sz w:val="19"/>
              </w:rPr>
              <w:t>Manual Baseline</w:t>
            </w:r>
          </w:p>
        </w:tc>
        <w:tc>
          <w:tcPr>
            <w:tcW w:type="dxa" w:w="2412"/>
            <w:tcMar>
              <w:top w:w="100" w:type="dxa"/>
              <w:bottom w:w="100" w:type="dxa"/>
              <w:left w:w="140" w:type="dxa"/>
              <w:right w:w="140" w:type="dxa"/>
            </w:tcMar>
            <w:shd w:fill="1E3A8A"/>
          </w:tcPr>
          <w:p>
            <w:pPr>
              <w:spacing w:before="40" w:after="40"/>
              <w:jc w:val="left"/>
            </w:pPr>
            <w:r>
              <w:rPr>
                <w:rFonts w:ascii="Calibri" w:hAnsi="Calibri"/>
                <w:b/>
                <w:color w:val="FFFFFF"/>
                <w:sz w:val="19"/>
              </w:rPr>
              <w:t>Generic LLM Wrapper</w:t>
            </w:r>
          </w:p>
        </w:tc>
        <w:tc>
          <w:tcPr>
            <w:tcW w:type="dxa" w:w="2412"/>
            <w:tcMar>
              <w:top w:w="100" w:type="dxa"/>
              <w:bottom w:w="100" w:type="dxa"/>
              <w:left w:w="140" w:type="dxa"/>
              <w:right w:w="140" w:type="dxa"/>
            </w:tcMar>
            <w:shd w:fill="1E3A8A"/>
          </w:tcPr>
          <w:p>
            <w:pPr>
              <w:spacing w:before="40" w:after="40"/>
              <w:jc w:val="left"/>
            </w:pPr>
            <w:r>
              <w:rPr>
                <w:rFonts w:ascii="Calibri" w:hAnsi="Calibri"/>
                <w:b/>
                <w:color w:val="FFFFFF"/>
                <w:sz w:val="19"/>
              </w:rPr>
              <w:t>Clove OS 2.0</w:t>
            </w:r>
          </w:p>
        </w:tc>
      </w:tr>
      <w:tr>
        <w:tc>
          <w:tcPr>
            <w:tcW w:type="dxa" w:w="2412"/>
            <w:tcMar>
              <w:top w:w="100" w:type="dxa"/>
              <w:bottom w:w="100" w:type="dxa"/>
              <w:left w:w="140" w:type="dxa"/>
              <w:right w:w="140" w:type="dxa"/>
            </w:tcMar>
            <w:shd w:fill="F8FAFC"/>
          </w:tcPr>
          <w:p>
            <w:pPr>
              <w:spacing w:before="40" w:after="40"/>
            </w:pPr>
            <w:r>
              <w:rPr>
                <w:rFonts w:ascii="Calibri" w:hAnsi="Calibri"/>
                <w:b/>
                <w:color w:val="1E293B"/>
                <w:sz w:val="18"/>
              </w:rPr>
              <w:t>Claim Turnaround Time</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32.5 minutes</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4.2 minutes</w:t>
            </w:r>
          </w:p>
        </w:tc>
        <w:tc>
          <w:tcPr>
            <w:tcW w:type="dxa" w:w="2412"/>
            <w:tcMar>
              <w:top w:w="100" w:type="dxa"/>
              <w:bottom w:w="100" w:type="dxa"/>
              <w:left w:w="140" w:type="dxa"/>
              <w:right w:w="140" w:type="dxa"/>
            </w:tcMar>
            <w:shd w:fill="F8FAFC"/>
          </w:tcPr>
          <w:p>
            <w:pPr>
              <w:spacing w:before="40" w:after="40"/>
            </w:pPr>
            <w:r>
              <w:rPr>
                <w:rFonts w:ascii="Calibri" w:hAnsi="Calibri"/>
                <w:b/>
                <w:color w:val="1E293B"/>
                <w:sz w:val="18"/>
              </w:rPr>
              <w:t>1.8s (auto) + 45s (HITL review)</w:t>
            </w:r>
          </w:p>
        </w:tc>
      </w:tr>
      <w:tr>
        <w:tc>
          <w:tcPr>
            <w:tcW w:type="dxa" w:w="2412"/>
            <w:tcMar>
              <w:top w:w="100" w:type="dxa"/>
              <w:bottom w:w="100" w:type="dxa"/>
              <w:left w:w="140" w:type="dxa"/>
              <w:right w:w="140" w:type="dxa"/>
            </w:tcMar>
            <w:shd w:fill="FFFFFF"/>
          </w:tcPr>
          <w:p>
            <w:pPr>
              <w:spacing w:before="40" w:after="40"/>
            </w:pPr>
            <w:r>
              <w:rPr>
                <w:rFonts w:ascii="Calibri" w:hAnsi="Calibri"/>
                <w:b/>
                <w:color w:val="1E293B"/>
                <w:sz w:val="18"/>
              </w:rPr>
              <w:t>Direct Labor Cost / Claim</w:t>
            </w:r>
          </w:p>
        </w:tc>
        <w:tc>
          <w:tcPr>
            <w:tcW w:type="dxa" w:w="2412"/>
            <w:tcMar>
              <w:top w:w="100" w:type="dxa"/>
              <w:bottom w:w="100" w:type="dxa"/>
              <w:left w:w="140" w:type="dxa"/>
              <w:right w:w="140" w:type="dxa"/>
            </w:tcMar>
            <w:shd w:fill="FFFFFF"/>
          </w:tcPr>
          <w:p>
            <w:pPr>
              <w:spacing w:before="40" w:after="40"/>
            </w:pPr>
            <w:r>
              <w:rPr>
                <w:rFonts w:ascii="Calibri" w:hAnsi="Calibri"/>
                <w:color w:val="1E293B"/>
                <w:sz w:val="18"/>
              </w:rPr>
              <w:t>$14.50</w:t>
            </w:r>
          </w:p>
        </w:tc>
        <w:tc>
          <w:tcPr>
            <w:tcW w:type="dxa" w:w="2412"/>
            <w:tcMar>
              <w:top w:w="100" w:type="dxa"/>
              <w:bottom w:w="100" w:type="dxa"/>
              <w:left w:w="140" w:type="dxa"/>
              <w:right w:w="140" w:type="dxa"/>
            </w:tcMar>
            <w:shd w:fill="FFFFFF"/>
          </w:tcPr>
          <w:p>
            <w:pPr>
              <w:spacing w:before="40" w:after="40"/>
            </w:pPr>
            <w:r>
              <w:rPr>
                <w:rFonts w:ascii="Calibri" w:hAnsi="Calibri"/>
                <w:color w:val="1E293B"/>
                <w:sz w:val="18"/>
              </w:rPr>
              <w:t>$3.20</w:t>
            </w:r>
          </w:p>
        </w:tc>
        <w:tc>
          <w:tcPr>
            <w:tcW w:type="dxa" w:w="2412"/>
            <w:tcMar>
              <w:top w:w="100" w:type="dxa"/>
              <w:bottom w:w="100" w:type="dxa"/>
              <w:left w:w="140" w:type="dxa"/>
              <w:right w:w="140" w:type="dxa"/>
            </w:tcMar>
            <w:shd w:fill="FFFFFF"/>
          </w:tcPr>
          <w:p>
            <w:pPr>
              <w:spacing w:before="40" w:after="40"/>
            </w:pPr>
            <w:r>
              <w:rPr>
                <w:rFonts w:ascii="Calibri" w:hAnsi="Calibri"/>
                <w:b/>
                <w:color w:val="1E293B"/>
                <w:sz w:val="18"/>
              </w:rPr>
              <w:t>$0.48</w:t>
            </w:r>
          </w:p>
        </w:tc>
      </w:tr>
      <w:tr>
        <w:tc>
          <w:tcPr>
            <w:tcW w:type="dxa" w:w="2412"/>
            <w:tcMar>
              <w:top w:w="100" w:type="dxa"/>
              <w:bottom w:w="100" w:type="dxa"/>
              <w:left w:w="140" w:type="dxa"/>
              <w:right w:w="140" w:type="dxa"/>
            </w:tcMar>
            <w:shd w:fill="F8FAFC"/>
          </w:tcPr>
          <w:p>
            <w:pPr>
              <w:spacing w:before="40" w:after="40"/>
            </w:pPr>
            <w:r>
              <w:rPr>
                <w:rFonts w:ascii="Calibri" w:hAnsi="Calibri"/>
                <w:b/>
                <w:color w:val="1E293B"/>
                <w:sz w:val="18"/>
              </w:rPr>
              <w:t>Inference Token Cost / Claim</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$0.00</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$0.045</w:t>
            </w:r>
          </w:p>
        </w:tc>
        <w:tc>
          <w:tcPr>
            <w:tcW w:type="dxa" w:w="2412"/>
            <w:tcMar>
              <w:top w:w="100" w:type="dxa"/>
              <w:bottom w:w="100" w:type="dxa"/>
              <w:left w:w="140" w:type="dxa"/>
              <w:right w:w="140" w:type="dxa"/>
            </w:tcMar>
            <w:shd w:fill="F8FAFC"/>
          </w:tcPr>
          <w:p>
            <w:pPr>
              <w:spacing w:before="40" w:after="40"/>
            </w:pPr>
            <w:r>
              <w:rPr>
                <w:rFonts w:ascii="Calibri" w:hAnsi="Calibri"/>
                <w:b/>
                <w:color w:val="1E293B"/>
                <w:sz w:val="18"/>
              </w:rPr>
              <w:t>$0.0058 (0-token for CO-16)</w:t>
            </w:r>
          </w:p>
        </w:tc>
      </w:tr>
      <w:tr>
        <w:tc>
          <w:tcPr>
            <w:tcW w:type="dxa" w:w="2412"/>
            <w:tcMar>
              <w:top w:w="100" w:type="dxa"/>
              <w:bottom w:w="100" w:type="dxa"/>
              <w:left w:w="140" w:type="dxa"/>
              <w:right w:w="140" w:type="dxa"/>
            </w:tcMar>
            <w:shd w:fill="FFFFFF"/>
          </w:tcPr>
          <w:p>
            <w:pPr>
              <w:spacing w:before="40" w:after="40"/>
            </w:pPr>
            <w:r>
              <w:rPr>
                <w:rFonts w:ascii="Calibri" w:hAnsi="Calibri"/>
                <w:b/>
                <w:color w:val="1E293B"/>
                <w:sz w:val="18"/>
              </w:rPr>
              <w:t>Clinical Hallucination Rate</w:t>
            </w:r>
          </w:p>
        </w:tc>
        <w:tc>
          <w:tcPr>
            <w:tcW w:type="dxa" w:w="2412"/>
            <w:tcMar>
              <w:top w:w="100" w:type="dxa"/>
              <w:bottom w:w="100" w:type="dxa"/>
              <w:left w:w="140" w:type="dxa"/>
              <w:right w:w="140" w:type="dxa"/>
            </w:tcMar>
            <w:shd w:fill="FFFFFF"/>
          </w:tcPr>
          <w:p>
            <w:pPr>
              <w:spacing w:before="40" w:after="40"/>
            </w:pPr>
            <w:r>
              <w:rPr>
                <w:rFonts w:ascii="Calibri" w:hAnsi="Calibri"/>
                <w:color w:val="1E293B"/>
                <w:sz w:val="18"/>
              </w:rPr>
              <w:t>0.0% (human)</w:t>
            </w:r>
          </w:p>
        </w:tc>
        <w:tc>
          <w:tcPr>
            <w:tcW w:type="dxa" w:w="2412"/>
            <w:tcMar>
              <w:top w:w="100" w:type="dxa"/>
              <w:bottom w:w="100" w:type="dxa"/>
              <w:left w:w="140" w:type="dxa"/>
              <w:right w:w="140" w:type="dxa"/>
            </w:tcMar>
            <w:shd w:fill="FFFFFF"/>
          </w:tcPr>
          <w:p>
            <w:pPr>
              <w:spacing w:before="40" w:after="40"/>
            </w:pPr>
            <w:r>
              <w:rPr>
                <w:rFonts w:ascii="Calibri" w:hAnsi="Calibri"/>
                <w:color w:val="1E293B"/>
                <w:sz w:val="18"/>
              </w:rPr>
              <w:t>14.8%</w:t>
            </w:r>
          </w:p>
        </w:tc>
        <w:tc>
          <w:tcPr>
            <w:tcW w:type="dxa" w:w="2412"/>
            <w:tcMar>
              <w:top w:w="100" w:type="dxa"/>
              <w:bottom w:w="100" w:type="dxa"/>
              <w:left w:w="140" w:type="dxa"/>
              <w:right w:w="140" w:type="dxa"/>
            </w:tcMar>
            <w:shd w:fill="FFFFFF"/>
          </w:tcPr>
          <w:p>
            <w:pPr>
              <w:spacing w:before="40" w:after="40"/>
            </w:pPr>
            <w:r>
              <w:rPr>
                <w:rFonts w:ascii="Calibri" w:hAnsi="Calibri"/>
                <w:b/>
                <w:color w:val="1E293B"/>
                <w:sz w:val="18"/>
              </w:rPr>
              <w:t>0.0% (adversarially verified)</w:t>
            </w:r>
          </w:p>
        </w:tc>
      </w:tr>
      <w:tr>
        <w:tc>
          <w:tcPr>
            <w:tcW w:type="dxa" w:w="2412"/>
            <w:tcMar>
              <w:top w:w="100" w:type="dxa"/>
              <w:bottom w:w="100" w:type="dxa"/>
              <w:left w:w="140" w:type="dxa"/>
              <w:right w:w="140" w:type="dxa"/>
            </w:tcMar>
            <w:shd w:fill="F8FAFC"/>
          </w:tcPr>
          <w:p>
            <w:pPr>
              <w:spacing w:before="40" w:after="40"/>
            </w:pPr>
            <w:r>
              <w:rPr>
                <w:rFonts w:ascii="Calibri" w:hAnsi="Calibri"/>
                <w:b/>
                <w:color w:val="1E293B"/>
                <w:sz w:val="18"/>
              </w:rPr>
              <w:t>Citation Accuracy (ERISA / Prompt Pay)</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62.0%</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48.0%</w:t>
            </w:r>
          </w:p>
        </w:tc>
        <w:tc>
          <w:tcPr>
            <w:tcW w:type="dxa" w:w="2412"/>
            <w:tcMar>
              <w:top w:w="100" w:type="dxa"/>
              <w:bottom w:w="100" w:type="dxa"/>
              <w:left w:w="140" w:type="dxa"/>
              <w:right w:w="140" w:type="dxa"/>
            </w:tcMar>
            <w:shd w:fill="F8FAFC"/>
          </w:tcPr>
          <w:p>
            <w:pPr>
              <w:spacing w:before="40" w:after="40"/>
            </w:pPr>
            <w:r>
              <w:rPr>
                <w:rFonts w:ascii="Calibri" w:hAnsi="Calibri"/>
                <w:b/>
                <w:color w:val="1E293B"/>
                <w:sz w:val="18"/>
              </w:rPr>
              <w:t>100.0% (deterministic matching)</w:t>
            </w:r>
          </w:p>
        </w:tc>
      </w:tr>
      <w:tr>
        <w:tc>
          <w:tcPr>
            <w:tcW w:type="dxa" w:w="2412"/>
            <w:tcMar>
              <w:top w:w="100" w:type="dxa"/>
              <w:bottom w:w="100" w:type="dxa"/>
              <w:left w:w="140" w:type="dxa"/>
              <w:right w:w="140" w:type="dxa"/>
            </w:tcMar>
            <w:shd w:fill="FFFFFF"/>
          </w:tcPr>
          <w:p>
            <w:pPr>
              <w:spacing w:before="40" w:after="40"/>
            </w:pPr>
            <w:r>
              <w:rPr>
                <w:rFonts w:ascii="Calibri" w:hAnsi="Calibri"/>
                <w:b/>
                <w:color w:val="1E293B"/>
                <w:sz w:val="18"/>
              </w:rPr>
              <w:t>Payer Overturn Rate (Projected)</w:t>
            </w:r>
          </w:p>
        </w:tc>
        <w:tc>
          <w:tcPr>
            <w:tcW w:type="dxa" w:w="2412"/>
            <w:tcMar>
              <w:top w:w="100" w:type="dxa"/>
              <w:bottom w:w="100" w:type="dxa"/>
              <w:left w:w="140" w:type="dxa"/>
              <w:right w:w="140" w:type="dxa"/>
            </w:tcMar>
            <w:shd w:fill="FFFFFF"/>
          </w:tcPr>
          <w:p>
            <w:pPr>
              <w:spacing w:before="40" w:after="40"/>
            </w:pPr>
            <w:r>
              <w:rPr>
                <w:rFonts w:ascii="Calibri" w:hAnsi="Calibri"/>
                <w:color w:val="1E293B"/>
                <w:sz w:val="18"/>
              </w:rPr>
              <w:t>34.0%</w:t>
            </w:r>
          </w:p>
        </w:tc>
        <w:tc>
          <w:tcPr>
            <w:tcW w:type="dxa" w:w="2412"/>
            <w:tcMar>
              <w:top w:w="100" w:type="dxa"/>
              <w:bottom w:w="100" w:type="dxa"/>
              <w:left w:w="140" w:type="dxa"/>
              <w:right w:w="140" w:type="dxa"/>
            </w:tcMar>
            <w:shd w:fill="FFFFFF"/>
          </w:tcPr>
          <w:p>
            <w:pPr>
              <w:spacing w:before="40" w:after="40"/>
            </w:pPr>
            <w:r>
              <w:rPr>
                <w:rFonts w:ascii="Calibri" w:hAnsi="Calibri"/>
                <w:color w:val="1E293B"/>
                <w:sz w:val="18"/>
              </w:rPr>
              <w:t>22.0% (rejected for quotes/fees)</w:t>
            </w:r>
          </w:p>
        </w:tc>
        <w:tc>
          <w:tcPr>
            <w:tcW w:type="dxa" w:w="2412"/>
            <w:tcMar>
              <w:top w:w="100" w:type="dxa"/>
              <w:bottom w:w="100" w:type="dxa"/>
              <w:left w:w="140" w:type="dxa"/>
              <w:right w:w="140" w:type="dxa"/>
            </w:tcMar>
            <w:shd w:fill="FFFFFF"/>
          </w:tcPr>
          <w:p>
            <w:pPr>
              <w:spacing w:before="40" w:after="40"/>
            </w:pPr>
            <w:r>
              <w:rPr>
                <w:rFonts w:ascii="Calibri" w:hAnsi="Calibri"/>
                <w:b/>
                <w:color w:val="1E293B"/>
                <w:sz w:val="18"/>
              </w:rPr>
              <w:t>58.0% (+24% recovery)</w:t>
            </w:r>
          </w:p>
        </w:tc>
      </w:tr>
      <w:tr>
        <w:tc>
          <w:tcPr>
            <w:tcW w:type="dxa" w:w="2412"/>
            <w:tcMar>
              <w:top w:w="100" w:type="dxa"/>
              <w:bottom w:w="100" w:type="dxa"/>
              <w:left w:w="140" w:type="dxa"/>
              <w:right w:w="140" w:type="dxa"/>
            </w:tcMar>
            <w:shd w:fill="F8FAFC"/>
          </w:tcPr>
          <w:p>
            <w:pPr>
              <w:spacing w:before="40" w:after="40"/>
            </w:pPr>
            <w:r>
              <w:rPr>
                <w:rFonts w:ascii="Calibri" w:hAnsi="Calibri"/>
                <w:b/>
                <w:color w:val="1E293B"/>
                <w:sz w:val="18"/>
              </w:rPr>
              <w:t>Monthly A/R Recovery (100 Offices)</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~$119,000</w:t>
            </w:r>
          </w:p>
        </w:tc>
        <w:tc>
          <w:tcPr>
            <w:tcW w:type="dxa" w:w="2412"/>
            <w:tcMar>
              <w:top w:w="100" w:type="dxa"/>
              <w:bottom w:w="100" w:type="dxa"/>
              <w:left w:w="140" w:type="dxa"/>
              <w:right w:w="140" w:type="dxa"/>
            </w:tcMar>
            <w:shd w:fill="F8FAFC"/>
          </w:tcPr>
          <w:p>
            <w:pPr>
              <w:spacing w:before="40" w:after="40"/>
            </w:pPr>
            <w:r>
              <w:rPr>
                <w:rFonts w:ascii="Calibri" w:hAnsi="Calibri"/>
                <w:color w:val="1E293B"/>
                <w:sz w:val="18"/>
              </w:rPr>
              <w:t>~$77,000</w:t>
            </w:r>
          </w:p>
        </w:tc>
        <w:tc>
          <w:tcPr>
            <w:tcW w:type="dxa" w:w="2412"/>
            <w:tcMar>
              <w:top w:w="100" w:type="dxa"/>
              <w:bottom w:w="100" w:type="dxa"/>
              <w:left w:w="140" w:type="dxa"/>
              <w:right w:w="140" w:type="dxa"/>
            </w:tcMar>
            <w:shd w:fill="F8FAFC"/>
          </w:tcPr>
          <w:p>
            <w:pPr>
              <w:spacing w:before="40" w:after="40"/>
            </w:pPr>
            <w:r>
              <w:rPr>
                <w:rFonts w:ascii="Calibri" w:hAnsi="Calibri"/>
                <w:b/>
                <w:color w:val="1E293B"/>
                <w:sz w:val="18"/>
              </w:rPr>
              <w:t>~$203,000</w:t>
            </w:r>
          </w:p>
        </w:tc>
      </w:tr>
    </w:tbl>
    <w:p>
      <w:pPr>
        <w:spacing w:before="0" w:after="120"/>
      </w:pPr>
    </w:p>
    <w:p>
      <w:pPr>
        <w:keepNext/>
        <w:spacing w:before="200" w:after="40"/>
      </w:pPr>
      <w:r>
        <w:rPr>
          <w:rFonts w:ascii="Calibri" w:hAnsi="Calibri"/>
          <w:b/>
          <w:color w:val="0D9488"/>
          <w:sz w:val="24"/>
        </w:rPr>
        <w:t>6.2 The 28-Test Behavioral &amp; Regulatory Suite</w:t>
      </w:r>
    </w:p>
    <w:p>
      <w:pPr>
        <w:spacing w:before="0" w:after="80" w:line="276" w:lineRule="auto"/>
      </w:pPr>
      <w:r>
        <w:rPr>
          <w:rFonts w:ascii="Calibri" w:hAnsi="Calibri"/>
          <w:color w:val="1E293B"/>
          <w:sz w:val="20"/>
        </w:rPr>
        <w:t>To ensure that all system behavior is verified and repeatable, the codebase contains 28 automated tests passing 100% in 0.199s:</w:t>
      </w:r>
    </w:p>
    <w:p>
      <w:pPr>
        <w:pStyle w:val="ListBullet"/>
        <w:spacing w:before="20" w:after="40"/>
      </w:pPr>
      <w:r>
        <w:rPr>
          <w:rFonts w:ascii="Calibri" w:hAnsi="Calibri"/>
          <w:b/>
          <w:color w:val="1E293B"/>
          <w:sz w:val="20"/>
        </w:rPr>
        <w:t>`TestTriage`</w:t>
      </w:r>
      <w:r>
        <w:rPr>
          <w:rFonts w:ascii="Calibri" w:hAnsi="Calibri"/>
          <w:color w:val="1E293B"/>
          <w:sz w:val="20"/>
        </w:rPr>
        <w:t xml:space="preserve">: Asserts </w:t>
      </w:r>
      <w:r>
        <w:rPr>
          <w:rFonts w:ascii="Consolas" w:hAnsi="Consolas"/>
          <w:color w:val="B45309"/>
          <w:sz w:val="18"/>
        </w:rPr>
        <w:t>CO-16</w:t>
      </w:r>
      <w:r>
        <w:rPr>
          <w:rFonts w:ascii="Calibri" w:hAnsi="Calibri"/>
          <w:color w:val="1E293B"/>
          <w:sz w:val="20"/>
        </w:rPr>
        <w:t xml:space="preserve"> never calls an LLM; confirms contradicting charts block appeals.</w:t>
      </w:r>
    </w:p>
    <w:p>
      <w:pPr>
        <w:pStyle w:val="ListBullet"/>
        <w:spacing w:before="20" w:after="40"/>
      </w:pPr>
      <w:r>
        <w:rPr>
          <w:rFonts w:ascii="Calibri" w:hAnsi="Calibri"/>
          <w:b/>
          <w:color w:val="1E293B"/>
          <w:sz w:val="20"/>
        </w:rPr>
        <w:t>`TestRetrievalAndPHI`</w:t>
      </w:r>
      <w:r>
        <w:rPr>
          <w:rFonts w:ascii="Calibri" w:hAnsi="Calibri"/>
          <w:color w:val="1E293B"/>
          <w:sz w:val="20"/>
        </w:rPr>
        <w:t xml:space="preserve">: Verifies decimal preservation in sentence splitting; proves BM25 chunk retrieval; confirms </w:t>
      </w:r>
      <w:r>
        <w:rPr>
          <w:rFonts w:ascii="Consolas" w:hAnsi="Consolas"/>
          <w:color w:val="B45309"/>
          <w:sz w:val="18"/>
        </w:rPr>
        <w:t>PHILeakError</w:t>
      </w:r>
      <w:r>
        <w:rPr>
          <w:rFonts w:ascii="Calibri" w:hAnsi="Calibri"/>
          <w:color w:val="1E293B"/>
          <w:sz w:val="20"/>
        </w:rPr>
        <w:t xml:space="preserve"> is raised if unmasked data enters cache keys.</w:t>
      </w:r>
    </w:p>
    <w:p>
      <w:pPr>
        <w:pStyle w:val="ListBullet"/>
        <w:spacing w:before="20" w:after="40"/>
      </w:pPr>
      <w:r>
        <w:rPr>
          <w:rFonts w:ascii="Calibri" w:hAnsi="Calibri"/>
          <w:b/>
          <w:color w:val="1E293B"/>
          <w:sz w:val="20"/>
        </w:rPr>
        <w:t>`TestGroundedDrafting`</w:t>
      </w:r>
      <w:r>
        <w:rPr>
          <w:rFonts w:ascii="Calibri" w:hAnsi="Calibri"/>
          <w:color w:val="1E293B"/>
          <w:sz w:val="20"/>
        </w:rPr>
        <w:t>: Verifies 100% of quotes are verbatim; verifies settlement requests target allowed fees rather than billed charges; asserts plan-specific statutory citations.</w:t>
      </w:r>
    </w:p>
    <w:p>
      <w:pPr>
        <w:pStyle w:val="ListBullet"/>
        <w:spacing w:before="20" w:after="40"/>
      </w:pPr>
      <w:r>
        <w:rPr>
          <w:rFonts w:ascii="Calibri" w:hAnsi="Calibri"/>
          <w:b/>
          <w:color w:val="1E293B"/>
          <w:sz w:val="20"/>
        </w:rPr>
        <w:t>`TestVerifier`</w:t>
      </w:r>
      <w:r>
        <w:rPr>
          <w:rFonts w:ascii="Calibri" w:hAnsi="Calibri"/>
          <w:color w:val="1E293B"/>
          <w:sz w:val="20"/>
        </w:rPr>
        <w:t>: Verifies adversarial detection of hallucinated quotes, bad dollar amounts, and wrong legal citations.</w:t>
      </w:r>
    </w:p>
    <w:p>
      <w:pPr>
        <w:pStyle w:val="ListBullet"/>
        <w:spacing w:before="20" w:after="40"/>
      </w:pPr>
      <w:r>
        <w:rPr>
          <w:rFonts w:ascii="Calibri" w:hAnsi="Calibri"/>
          <w:b/>
          <w:color w:val="1E293B"/>
          <w:sz w:val="20"/>
        </w:rPr>
        <w:t>`TestHITL`</w:t>
      </w:r>
      <w:r>
        <w:rPr>
          <w:rFonts w:ascii="Calibri" w:hAnsi="Calibri"/>
          <w:color w:val="1E293B"/>
          <w:sz w:val="20"/>
        </w:rPr>
        <w:t>: Verifies checkpoint pause/resume; asserts anti-tamper lock on modified letters; logs reviewer attribution.</w:t>
      </w:r>
    </w:p>
    <w:p>
      <w:pPr>
        <w:pStyle w:val="ListBullet"/>
        <w:spacing w:before="20" w:after="40"/>
      </w:pPr>
      <w:r>
        <w:rPr>
          <w:rFonts w:ascii="Calibri" w:hAnsi="Calibri"/>
          <w:b/>
          <w:color w:val="1E293B"/>
          <w:sz w:val="20"/>
        </w:rPr>
        <w:t>`TestOpsIntegrations`</w:t>
      </w:r>
      <w:r>
        <w:rPr>
          <w:rFonts w:ascii="Calibri" w:hAnsi="Calibri"/>
          <w:color w:val="1E293B"/>
          <w:sz w:val="20"/>
        </w:rPr>
        <w:t>: Asserts salaried doctors are excluded from overtime; tests Zoho scoring determinism.</w:t>
      </w:r>
    </w:p>
    <w:p>
      <w:pPr>
        <w:pStyle w:val="ListBullet"/>
        <w:spacing w:before="20" w:after="40"/>
      </w:pPr>
      <w:r>
        <w:rPr>
          <w:rFonts w:ascii="Calibri" w:hAnsi="Calibri"/>
          <w:b/>
          <w:color w:val="1E293B"/>
          <w:sz w:val="20"/>
        </w:rPr>
        <w:t>`TestEconomics`</w:t>
      </w:r>
      <w:r>
        <w:rPr>
          <w:rFonts w:ascii="Calibri" w:hAnsi="Calibri"/>
          <w:color w:val="1E293B"/>
          <w:sz w:val="20"/>
        </w:rPr>
        <w:t>: Proves Anthropic cache break-even on read 1; tests 5-minute TTL and 1,024-token minimum cacheability.</w:t>
      </w:r>
    </w:p>
    <w:p>
      <w:pPr>
        <w:spacing w:before="120" w:after="160"/>
        <w:pBdr>
          <w:bottom w:val="single" w:sz="6" w:space="1" w:color="CBD5E1"/>
        </w:pBdr>
      </w:pPr>
    </w:p>
    <w:p>
      <w:pPr>
        <w:keepNext/>
        <w:spacing w:before="280" w:after="60"/>
      </w:pPr>
      <w:r>
        <w:rPr>
          <w:rFonts w:ascii="Calibri" w:hAnsi="Calibri"/>
          <w:b/>
          <w:color w:val="1A365D"/>
          <w:sz w:val="28"/>
        </w:rPr>
        <w:t>7. Scaling to a 500-Office Enterprise Footprint</w:t>
      </w:r>
    </w:p>
    <w:p>
      <w:pPr>
        <w:spacing w:before="0" w:after="80" w:line="276" w:lineRule="auto"/>
      </w:pPr>
      <w:r>
        <w:rPr>
          <w:rFonts w:ascii="Calibri" w:hAnsi="Calibri"/>
          <w:color w:val="1E293B"/>
          <w:sz w:val="20"/>
        </w:rPr>
        <w:t>To scale Clove OS from 100 to 500 offices, I would focus operational efforts on three core infrastructure upgrades:</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left w:val="single" w:sz="18" w:space="0" w:color="0D9488"/>
              <w:top w:val="single" w:sz="4" w:space="0" w:color="E2E8F0"/>
              <w:right w:val="single" w:sz="4" w:space="0" w:color="E2E8F0"/>
              <w:bottom w:val="single" w:sz="4" w:space="0" w:color="E2E8F0"/>
            </w:tcBorders>
          </w:tcPr>
          <w:p>
            <w:pPr>
              <w:spacing w:before="40" w:after="40"/>
            </w:pPr>
            <w:r>
              <w:rPr>
                <w:rFonts w:ascii="Consolas" w:hAnsi="Consolas"/>
                <w:color w:val="1E293B"/>
                <w:sz w:val="17"/>
              </w:rPr>
              <w:t>┌────────────────────────────────────────────────────────────────────────┐</w:t>
              <w:br/>
              <w:t>│                        Enterprise Architecture                         │</w:t>
              <w:br/>
              <w:t>└────────────────────────────────────────────────────────────────────────┘</w:t>
              <w:br/>
              <w:t xml:space="preserve">          │                                              │</w:t>
              <w:br/>
              <w:t xml:space="preserve">          ▼                                              ▼</w:t>
              <w:br/>
              <w:t>┌──────────────────────────────┐               ┌──────────────────────────────┐</w:t>
              <w:br/>
              <w:t>│  Clearinghouse Ingestion     │               │    Distributed Execution     │</w:t>
              <w:br/>
              <w:t>│  • Change Healthcare /       │               │    • AWS SQS / Kafka Ingestion│</w:t>
              <w:br/>
              <w:t>│    Availity EDI 835 Feeds    │               │    • Celery / Ray Workers     │</w:t>
              <w:br/>
              <w:t>│  • Open Dental Webhook Buses │               │    • Redis Checkpoint Store   │</w:t>
              <w:br/>
              <w:t>└──────────────────────────────┘               └──────────────────────────────┘</w:t>
              <w:br/>
              <w:t xml:space="preserve">                                       │</w:t>
              <w:br/>
              <w:t xml:space="preserve">                                       ▼</w:t>
              <w:br/>
              <w:t xml:space="preserve">                       ┌──────────────────────────────┐</w:t>
              <w:br/>
              <w:t xml:space="preserve">                       │   HIPAA Enclave Governance   │</w:t>
              <w:br/>
              <w:t xml:space="preserve">                       │   • AWS Bedrock / Azure BAA  │</w:t>
              <w:br/>
              <w:t xml:space="preserve">                       │   • PrivateLink VPC Gateway  │</w:t>
              <w:br/>
              <w:t xml:space="preserve">                       │   • Zero Data Retention (ZDR)│</w:t>
              <w:br/>
              <w:t xml:space="preserve">                       └──────────────────────────────┘</w:t>
            </w:r>
          </w:p>
        </w:tc>
      </w:tr>
    </w:tbl>
    <w:p>
      <w:pPr>
        <w:spacing w:before="0" w:after="80"/>
      </w:pPr>
    </w:p>
    <w:p>
      <w:pPr>
        <w:pStyle w:val="ListNumber"/>
        <w:spacing w:before="40" w:after="40"/>
      </w:pPr>
      <w:r>
        <w:rPr>
          <w:rFonts w:ascii="Calibri" w:hAnsi="Calibri"/>
          <w:b/>
          <w:color w:val="1E293B"/>
          <w:sz w:val="20"/>
        </w:rPr>
        <w:t>Direct Clearinghouse EDI 835 / 837 Ingestion</w:t>
      </w:r>
      <w:r>
        <w:rPr>
          <w:rFonts w:ascii="Calibri" w:hAnsi="Calibri"/>
          <w:color w:val="1E293B"/>
          <w:sz w:val="20"/>
        </w:rPr>
        <w:t>:</w:t>
      </w:r>
    </w:p>
    <w:p>
      <w:pPr>
        <w:spacing w:before="0" w:after="80" w:line="276" w:lineRule="auto"/>
      </w:pPr>
      <w:r>
        <w:rPr>
          <w:rFonts w:ascii="Calibri" w:hAnsi="Calibri"/>
          <w:color w:val="1E293B"/>
          <w:sz w:val="20"/>
        </w:rPr>
        <w:t>Replace polling with streaming webhooks connected directly to dental clearinghouses (Change Healthcare, Availity, DentalXChange). Denials are processed the millisecond the electronic remittance advice (ERA) arrives.</w:t>
      </w:r>
    </w:p>
    <w:p>
      <w:pPr>
        <w:pStyle w:val="ListNumber"/>
        <w:spacing w:before="40" w:after="40"/>
      </w:pPr>
      <w:r>
        <w:rPr>
          <w:rFonts w:ascii="Calibri" w:hAnsi="Calibri"/>
          <w:b/>
          <w:color w:val="1E293B"/>
          <w:sz w:val="20"/>
        </w:rPr>
        <w:t>Distributed Asynchronous Worker Queue</w:t>
      </w:r>
      <w:r>
        <w:rPr>
          <w:rFonts w:ascii="Calibri" w:hAnsi="Calibri"/>
          <w:color w:val="1E293B"/>
          <w:sz w:val="20"/>
        </w:rPr>
        <w:t>:</w:t>
      </w:r>
    </w:p>
    <w:p>
      <w:pPr>
        <w:spacing w:before="0" w:after="80" w:line="276" w:lineRule="auto"/>
      </w:pPr>
      <w:r>
        <w:rPr>
          <w:rFonts w:ascii="Calibri" w:hAnsi="Calibri"/>
          <w:color w:val="1E293B"/>
          <w:sz w:val="20"/>
        </w:rPr>
        <w:t>Deploy LangGraph state workers across distributed Celery or Ray worker pools backed by Redis and AWS SQS, handling spikes of 10,000 claims during month-end billing cycles.</w:t>
      </w:r>
    </w:p>
    <w:p>
      <w:pPr>
        <w:pStyle w:val="ListNumber"/>
        <w:spacing w:before="40" w:after="40"/>
      </w:pPr>
      <w:r>
        <w:rPr>
          <w:rFonts w:ascii="Calibri" w:hAnsi="Calibri"/>
          <w:b/>
          <w:color w:val="1E293B"/>
          <w:sz w:val="20"/>
        </w:rPr>
        <w:t>Dedicated HIPAA BAA Inference Enclaves</w:t>
      </w:r>
      <w:r>
        <w:rPr>
          <w:rFonts w:ascii="Calibri" w:hAnsi="Calibri"/>
          <w:color w:val="1E293B"/>
          <w:sz w:val="20"/>
        </w:rPr>
        <w:t>:</w:t>
      </w:r>
    </w:p>
    <w:p>
      <w:pPr>
        <w:spacing w:before="0" w:after="80" w:line="276" w:lineRule="auto"/>
      </w:pPr>
      <w:r>
        <w:rPr>
          <w:rFonts w:ascii="Calibri" w:hAnsi="Calibri"/>
          <w:color w:val="1E293B"/>
          <w:sz w:val="20"/>
        </w:rPr>
        <w:t>Route all LLM completions through AWS Bedrock or Azure OpenAI PrivateLink endpoints backed by signed Business Associate Agreements (BAA) with Zero Data Retention (ZDR) guarantees.</w:t>
      </w:r>
    </w:p>
    <w:p>
      <w:pPr>
        <w:spacing w:before="120" w:after="160"/>
        <w:pBdr>
          <w:bottom w:val="single" w:sz="6" w:space="1" w:color="CBD5E1"/>
        </w:pBdr>
      </w:pPr>
    </w:p>
    <w:p>
      <w:pPr>
        <w:keepNext/>
        <w:spacing w:before="280" w:after="60"/>
      </w:pPr>
      <w:r>
        <w:rPr>
          <w:rFonts w:ascii="Calibri" w:hAnsi="Calibri"/>
          <w:b/>
          <w:color w:val="1A365D"/>
          <w:sz w:val="28"/>
        </w:rPr>
        <w:t>Conclusion</w:t>
      </w:r>
    </w:p>
    <w:p>
      <w:pPr>
        <w:spacing w:before="0" w:after="80" w:line="276" w:lineRule="auto"/>
      </w:pPr>
      <w:r>
        <w:rPr>
          <w:rFonts w:ascii="Calibri" w:hAnsi="Calibri"/>
          <w:color w:val="1E293B"/>
          <w:sz w:val="20"/>
        </w:rPr>
        <w:t xml:space="preserve">Clove OS proves that deploying AI in a multi-location healthcare organization requires far more than generative text prompts: it requires </w:t>
      </w:r>
      <w:r>
        <w:rPr>
          <w:rFonts w:ascii="Calibri" w:hAnsi="Calibri"/>
          <w:b/>
          <w:color w:val="1E293B"/>
          <w:sz w:val="20"/>
        </w:rPr>
        <w:t>deterministic clinical boundaries, rigorous regulatory grounding, automated token economics, and seamless practice management integrations</w:t>
      </w:r>
      <w:r>
        <w:rPr>
          <w:rFonts w:ascii="Calibri" w:hAnsi="Calibri"/>
          <w:color w:val="1E293B"/>
          <w:sz w:val="20"/>
        </w:rPr>
        <w:t>.</w:t>
      </w:r>
    </w:p>
    <w:p>
      <w:pPr>
        <w:spacing w:before="0" w:after="80" w:line="276" w:lineRule="auto"/>
      </w:pPr>
      <w:r>
        <w:rPr>
          <w:rFonts w:ascii="Calibri" w:hAnsi="Calibri"/>
          <w:color w:val="1E293B"/>
          <w:sz w:val="20"/>
        </w:rPr>
        <w:t>By automating claim denial triage, enforcing zero-hallucination guardrails, and balancing clinic staffing with legal compliance, Clove OS provides the operational foundation that enables Clove Dental to scale profitably to 100+ offices while maintaining an exceptionally lean corporate team.\n</w:t>
      </w:r>
    </w:p>
    <w:sectPr w:rsidR="00FC693F" w:rsidRPr="0006063C" w:rsidSect="00034616">
      <w:head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Clove OS — AI Operations Architecture Case Study | Jatin Soni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