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E1615B">
        <w:rPr>
          <w:rFonts w:eastAsia="Times New Roman"/>
          <w:noProof/>
          <w:sz w:val="24"/>
          <w:szCs w:val="24"/>
        </w:rPr>
        <w:t>5/20/20 6:22:43 AM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52E8DB93" w14:textId="77777777" w:rsidR="00445573" w:rsidRDefault="00445573">
      <w:pPr>
        <w:rPr>
          <w:rFonts w:eastAsia="Times New Roman"/>
          <w:b/>
          <w:sz w:val="24"/>
          <w:szCs w:val="24"/>
        </w:rPr>
      </w:pPr>
      <w:r>
        <w:rPr>
          <w:rFonts w:eastAsia="Times New Roman"/>
          <w:b/>
          <w:sz w:val="24"/>
          <w:szCs w:val="24"/>
        </w:rPr>
        <w:br w:type="page"/>
      </w:r>
    </w:p>
    <w:p w14:paraId="4F38B54C" w14:textId="23857BBE"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lastRenderedPageBreak/>
        <w:t>Intro</w:t>
      </w:r>
    </w:p>
    <w:p w14:paraId="6679221C" w14:textId="263F1723" w:rsidR="00445573"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r w:rsidR="00445573">
        <w:rPr>
          <w:rFonts w:eastAsia="Times New Roman"/>
          <w:sz w:val="24"/>
          <w:szCs w:val="24"/>
        </w:rPr>
        <w:t xml:space="preserve"> Now to introduce Go in the context of the virus, suppose there is a 2x2 board:</w:t>
      </w:r>
    </w:p>
    <w:p w14:paraId="54B52FB9" w14:textId="5F49830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4FF9953C" w14:textId="7CAEC0D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6EFC0C79" w14:textId="3171FAC9"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------(empty)------------------(empty)</w:t>
      </w:r>
      <w:r>
        <w:rPr>
          <w:rFonts w:ascii="Andale Mono" w:eastAsia="Times New Roman" w:hAnsi="Andale Mono"/>
          <w:sz w:val="24"/>
          <w:szCs w:val="24"/>
        </w:rPr>
        <w:t>-----</w:t>
      </w:r>
    </w:p>
    <w:p w14:paraId="22339F39" w14:textId="0FE97E02" w:rsidR="00445573" w:rsidRDefault="00445573" w:rsidP="00FA22DD">
      <w:pPr>
        <w:widowControl w:val="0"/>
        <w:autoSpaceDE w:val="0"/>
        <w:autoSpaceDN w:val="0"/>
        <w:adjustRightInd w:val="0"/>
        <w:spacing w:line="480" w:lineRule="auto"/>
        <w:rPr>
          <w:rFonts w:eastAsia="Times New Roman"/>
          <w:sz w:val="24"/>
          <w:szCs w:val="24"/>
        </w:rPr>
      </w:pPr>
      <w:r>
        <w:rPr>
          <w:rFonts w:eastAsia="Times New Roman"/>
          <w:sz w:val="24"/>
          <w:szCs w:val="24"/>
        </w:rPr>
        <w:t>If it is the white blood cells’ (</w:t>
      </w:r>
      <w:r>
        <w:rPr>
          <w:rFonts w:ascii="MS Mincho" w:eastAsia="MS Mincho" w:hAnsi="MS Mincho" w:cs="MS Mincho"/>
          <w:sz w:val="24"/>
          <w:szCs w:val="24"/>
        </w:rPr>
        <w:t>白血球</w:t>
      </w:r>
      <w:r>
        <w:rPr>
          <w:rFonts w:eastAsia="Times New Roman"/>
          <w:sz w:val="24"/>
          <w:szCs w:val="24"/>
        </w:rPr>
        <w:t xml:space="preserve">, </w:t>
      </w:r>
      <w:r w:rsidR="003E0E64">
        <w:rPr>
          <w:rFonts w:eastAsia="Times New Roman"/>
          <w:sz w:val="24"/>
          <w:szCs w:val="24"/>
        </w:rPr>
        <w:t xml:space="preserve">white blood ball, </w:t>
      </w:r>
      <w:r>
        <w:rPr>
          <w:rFonts w:eastAsia="Times New Roman"/>
          <w:sz w:val="24"/>
          <w:szCs w:val="24"/>
        </w:rPr>
        <w:t xml:space="preserve">according to </w:t>
      </w:r>
      <w:r w:rsidR="003E0E64">
        <w:rPr>
          <w:rFonts w:eastAsia="Times New Roman"/>
          <w:sz w:val="24"/>
          <w:szCs w:val="24"/>
        </w:rPr>
        <w:t xml:space="preserve">anime </w:t>
      </w:r>
      <w:bookmarkStart w:id="0" w:name="_GoBack"/>
      <w:bookmarkEnd w:id="0"/>
      <w:r>
        <w:rPr>
          <w:rFonts w:eastAsia="Times New Roman"/>
          <w:i/>
          <w:sz w:val="24"/>
          <w:szCs w:val="24"/>
        </w:rPr>
        <w:t>Cells at Work</w:t>
      </w:r>
      <w:r>
        <w:rPr>
          <w:rFonts w:eastAsia="Times New Roman"/>
          <w:sz w:val="24"/>
          <w:szCs w:val="24"/>
        </w:rPr>
        <w:t xml:space="preserve">) turn to place a cell, called sente, how where could a white blood cell be placed so as to capture, engulf, and eat the infected cell, which is in </w:t>
      </w:r>
      <w:r>
        <w:rPr>
          <w:rFonts w:eastAsia="Times New Roman"/>
          <w:i/>
          <w:sz w:val="24"/>
          <w:szCs w:val="24"/>
        </w:rPr>
        <w:t>atari</w:t>
      </w:r>
      <w:r w:rsidRPr="00445573">
        <w:rPr>
          <w:rFonts w:eastAsia="Times New Roman"/>
          <w:sz w:val="24"/>
          <w:szCs w:val="24"/>
        </w:rPr>
        <w:t>/check</w:t>
      </w:r>
      <w:r>
        <w:rPr>
          <w:rFonts w:eastAsia="Times New Roman"/>
          <w:sz w:val="24"/>
          <w:szCs w:val="24"/>
        </w:rPr>
        <w:t>? The answer is:</w:t>
      </w:r>
    </w:p>
    <w:p w14:paraId="2A7B29EE"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520460C2"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0D00CF64" w14:textId="66FF9680"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r w:rsidR="005E4FAB">
        <w:rPr>
          <w:rFonts w:ascii="Andale Mono" w:eastAsia="Times New Roman" w:hAnsi="Andale Mono"/>
          <w:sz w:val="24"/>
          <w:szCs w:val="24"/>
        </w:rPr>
        <w:t>-----------</w:t>
      </w:r>
      <w:r>
        <w:rPr>
          <w:rFonts w:ascii="Andale Mono" w:eastAsia="Times New Roman" w:hAnsi="Andale Mono"/>
          <w:sz w:val="24"/>
          <w:szCs w:val="24"/>
        </w:rPr>
        <w:t>(White blood cell)</w:t>
      </w:r>
      <w:r w:rsidR="005E4FAB">
        <w:rPr>
          <w:rFonts w:ascii="Andale Mono" w:eastAsia="Times New Roman" w:hAnsi="Andale Mono"/>
          <w:sz w:val="24"/>
          <w:szCs w:val="24"/>
        </w:rPr>
        <w:t>-</w:t>
      </w:r>
    </w:p>
    <w:p w14:paraId="51722741" w14:textId="36484655" w:rsidR="00445573" w:rsidRDefault="005E4FAB" w:rsidP="00FA22DD">
      <w:pPr>
        <w:widowControl w:val="0"/>
        <w:autoSpaceDE w:val="0"/>
        <w:autoSpaceDN w:val="0"/>
        <w:adjustRightInd w:val="0"/>
        <w:spacing w:line="480" w:lineRule="auto"/>
        <w:rPr>
          <w:rFonts w:eastAsia="Times New Roman"/>
          <w:sz w:val="24"/>
          <w:szCs w:val="24"/>
        </w:rPr>
      </w:pPr>
      <w:r>
        <w:rPr>
          <w:rFonts w:eastAsia="Times New Roman"/>
          <w:sz w:val="24"/>
          <w:szCs w:val="24"/>
        </w:rPr>
        <w:t>And the infected cell gets removed as the white blood cells’ prisoner.</w:t>
      </w:r>
      <w:r w:rsidR="004371C4">
        <w:rPr>
          <w:rFonts w:eastAsia="Times New Roman"/>
          <w:sz w:val="24"/>
          <w:szCs w:val="24"/>
        </w:rPr>
        <w:t xml:space="preserve"> However, in a real-life Go board or pandemic, the infected cells would get the first move</w:t>
      </w:r>
      <w:r w:rsidR="00E1615B">
        <w:rPr>
          <w:rFonts w:eastAsia="Times New Roman"/>
          <w:sz w:val="24"/>
          <w:szCs w:val="24"/>
        </w:rPr>
        <w:t>, at least at the start of the game</w:t>
      </w:r>
      <w:r w:rsidR="004371C4">
        <w:rPr>
          <w:rFonts w:eastAsia="Times New Roman"/>
          <w:sz w:val="24"/>
          <w:szCs w:val="24"/>
        </w:rPr>
        <w:t>.</w:t>
      </w:r>
    </w:p>
    <w:p w14:paraId="317009BA" w14:textId="77777777" w:rsidR="00445573" w:rsidRDefault="00445573" w:rsidP="00FA22DD">
      <w:pPr>
        <w:widowControl w:val="0"/>
        <w:autoSpaceDE w:val="0"/>
        <w:autoSpaceDN w:val="0"/>
        <w:adjustRightInd w:val="0"/>
        <w:spacing w:line="480" w:lineRule="auto"/>
        <w:rPr>
          <w:rFonts w:eastAsia="Times New Roman"/>
          <w:sz w:val="24"/>
          <w:szCs w:val="24"/>
        </w:rPr>
      </w:pP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F770A26" w14:textId="4B088D39"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r w:rsidR="00226C5C">
        <w:rPr>
          <w:rFonts w:eastAsia="Times New Roman"/>
          <w:sz w:val="24"/>
          <w:szCs w:val="24"/>
        </w:rPr>
        <w:t>.</w:t>
      </w:r>
      <w:r w:rsidR="008A167D">
        <w:rPr>
          <w:rFonts w:eastAsia="Times New Roman"/>
          <w:sz w:val="24"/>
          <w:szCs w:val="24"/>
        </w:rPr>
        <w:t xml:space="preserve"> </w:t>
      </w: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w:t>
      </w:r>
      <w:r w:rsidR="0068163F">
        <w:rPr>
          <w:rFonts w:eastAsia="Songti SC"/>
          <w:sz w:val="24"/>
          <w:szCs w:val="24"/>
        </w:rPr>
        <w:t>Her ChoChikun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Chikun</w:t>
      </w:r>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Chikun, GTranslate)</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26C5C"/>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E0E64"/>
    <w:rsid w:val="003F0C79"/>
    <w:rsid w:val="003F25BE"/>
    <w:rsid w:val="003F46AF"/>
    <w:rsid w:val="003F4EAC"/>
    <w:rsid w:val="00404270"/>
    <w:rsid w:val="00413863"/>
    <w:rsid w:val="004246BD"/>
    <w:rsid w:val="004359BA"/>
    <w:rsid w:val="00435A84"/>
    <w:rsid w:val="00435EFA"/>
    <w:rsid w:val="004371C4"/>
    <w:rsid w:val="004400DA"/>
    <w:rsid w:val="004448E3"/>
    <w:rsid w:val="0044557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E4FAB"/>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167D"/>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1615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64</Pages>
  <Words>17654</Words>
  <Characters>100631</Characters>
  <Application>Microsoft Macintosh Word</Application>
  <DocSecurity>0</DocSecurity>
  <Lines>838</Lines>
  <Paragraphs>236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31</cp:revision>
  <dcterms:created xsi:type="dcterms:W3CDTF">2020-05-17T19:41:00Z</dcterms:created>
  <dcterms:modified xsi:type="dcterms:W3CDTF">2020-05-20T13:25:00Z</dcterms:modified>
</cp:coreProperties>
</file>