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11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2020    |    DATE COMPLETED: 09 JUNE, 2023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