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2F7A28" w14:textId="77777777" w:rsidR="00D06C96" w:rsidRDefault="00000000">
      <w:pPr>
        <w:spacing w:after="80"/>
        <w:jc w:val="center"/>
      </w:pPr>
      <w:r>
        <w:rPr>
          <w:b/>
          <w:bCs/>
          <w:sz w:val="40"/>
          <w:szCs w:val="40"/>
        </w:rPr>
        <w:t>Dataset Introduction: LTHTR Clinical Trial 150-Day Set-Up Tracker</w:t>
      </w:r>
    </w:p>
    <w:p w14:paraId="166E5442" w14:textId="77777777" w:rsidR="00D06C96" w:rsidRDefault="00000000">
      <w:pPr>
        <w:spacing w:after="60"/>
        <w:jc w:val="center"/>
      </w:pPr>
      <w:r>
        <w:rPr>
          <w:i/>
          <w:iCs/>
        </w:rPr>
        <w:t>Lancashire Teaching Hospitals NHS Foundation Trust (LTHTR) – Research &amp; Development</w:t>
      </w:r>
    </w:p>
    <w:p w14:paraId="0B3E2D59" w14:textId="77777777" w:rsidR="00D06C96" w:rsidRDefault="00D06C96">
      <w:pPr>
        <w:pBdr>
          <w:bottom w:val="single" w:sz="6" w:space="1" w:color="222222"/>
        </w:pBdr>
      </w:pPr>
    </w:p>
    <w:p w14:paraId="6B5E68CD" w14:textId="77777777" w:rsidR="00D06C96" w:rsidRDefault="00D06C96"/>
    <w:p w14:paraId="1FE76687" w14:textId="77777777" w:rsidR="00D06C96" w:rsidRDefault="00000000">
      <w:pPr>
        <w:pStyle w:val="Heading1"/>
      </w:pPr>
      <w:r>
        <w:t>1. Background and Purpose</w:t>
      </w:r>
    </w:p>
    <w:p w14:paraId="0B550BA8" w14:textId="77777777" w:rsidR="00D06C96" w:rsidRDefault="00000000">
      <w:r>
        <w:t>The UK Government has set a 150-day target for clinical trial site activation within the NHS. This means that from the moment a hospital site is confirmed as a participant in a trial, it must complete all internal setup tasks and be open to recruiting patients within 150 days. Lancashire Teaching Hospitals NHS Foundation Trust (LTHTR) tracks compliance with this target for all Clinical Trials of Investigational Medicinal Products (CTIMPs) – trials involving medicines, including injectable, oncology, and other regulated drugs.</w:t>
      </w:r>
    </w:p>
    <w:p w14:paraId="58ACF1DD" w14:textId="77777777" w:rsidR="00D06C96" w:rsidRDefault="00D06C96"/>
    <w:p w14:paraId="7DC79036" w14:textId="77777777" w:rsidR="00D06C96" w:rsidRDefault="00000000">
      <w:r>
        <w:t>The 150-day window is divided into three stages:</w:t>
      </w:r>
    </w:p>
    <w:p w14:paraId="6BF45B27" w14:textId="77777777" w:rsidR="00D06C96" w:rsidRDefault="00000000">
      <w:pPr>
        <w:pStyle w:val="ListParagraph"/>
        <w:numPr>
          <w:ilvl w:val="0"/>
          <w:numId w:val="2"/>
        </w:numPr>
      </w:pPr>
      <w:r>
        <w:rPr>
          <w:b/>
          <w:bCs/>
        </w:rPr>
        <w:t xml:space="preserve">Stage 1 (Days 1–60): </w:t>
      </w:r>
      <w:r>
        <w:t>Regulatory and ethics approvals (MHRA, HRA). This stage is outside the hospital's control.</w:t>
      </w:r>
    </w:p>
    <w:p w14:paraId="1859EAD2" w14:textId="77777777" w:rsidR="00D06C96" w:rsidRDefault="00000000">
      <w:pPr>
        <w:pStyle w:val="ListParagraph"/>
        <w:numPr>
          <w:ilvl w:val="0"/>
          <w:numId w:val="2"/>
        </w:numPr>
      </w:pPr>
      <w:r>
        <w:rPr>
          <w:b/>
          <w:bCs/>
        </w:rPr>
        <w:t xml:space="preserve">Stage 2 (Days 61–120): </w:t>
      </w:r>
      <w:r>
        <w:t>Internal site activation – the target optimisation period. Runs from Day 0, the later of HRA approval (col 3) and site selection (col 4), to the site being open to recruit. This is the period this dataset focuses on.</w:t>
      </w:r>
    </w:p>
    <w:p w14:paraId="4C92334F" w14:textId="77777777" w:rsidR="00D06C96" w:rsidRDefault="00000000">
      <w:pPr>
        <w:pStyle w:val="ListParagraph"/>
        <w:numPr>
          <w:ilvl w:val="0"/>
          <w:numId w:val="2"/>
        </w:numPr>
      </w:pPr>
      <w:r>
        <w:rPr>
          <w:b/>
          <w:bCs/>
        </w:rPr>
        <w:t xml:space="preserve">Stage 3 (Days 121–150): </w:t>
      </w:r>
      <w:r>
        <w:t>From the site opening to the first patient's first visit. Not formally included in the 150-day clock but tracked in this dataset.</w:t>
      </w:r>
    </w:p>
    <w:p w14:paraId="1FC7404F" w14:textId="77777777" w:rsidR="00D06C96" w:rsidRDefault="00D06C96"/>
    <w:p w14:paraId="39FACBAD" w14:textId="77777777" w:rsidR="00D06C96" w:rsidRDefault="00000000">
      <w:r>
        <w:t>During Stage 2, three internal tracks run in parallel: the Pharmacy Track, the Governance/R&amp;D Track, and the Clinical &amp; Ancillary Track. The slowest track determines when the site can open. Appendix A provides a full process flowchart showing every step across all three tracks, the CT Excel columns that capture each step, and the data completeness of each column. The remainder of this document describes each column in the order in which it appears in that flowchart.</w:t>
      </w:r>
    </w:p>
    <w:p w14:paraId="65646F6E" w14:textId="77777777" w:rsidR="00D06C96" w:rsidRDefault="00D06C96"/>
    <w:p w14:paraId="5913C905" w14:textId="77777777" w:rsidR="00D06C96" w:rsidRDefault="00000000">
      <w:pPr>
        <w:pStyle w:val="Heading1"/>
      </w:pPr>
      <w:r>
        <w:t>2. Dataset Overview</w:t>
      </w:r>
    </w:p>
    <w:p w14:paraId="67139A88" w14:textId="77777777" w:rsidR="00D06C96" w:rsidRDefault="00000000">
      <w:r>
        <w:rPr>
          <w:b/>
          <w:bCs/>
        </w:rPr>
        <w:t xml:space="preserve">Source: </w:t>
      </w:r>
      <w:r>
        <w:t>Manually compiled by the LTHTR Research &amp; Development team (Samantha, R&amp;D) from emails, local folders, the national EDGE clinical trial management system, and the Iqemo oncology prescribing system.</w:t>
      </w:r>
    </w:p>
    <w:p w14:paraId="761C4BD0" w14:textId="77777777" w:rsidR="00D06C96" w:rsidRDefault="00D06C96"/>
    <w:p w14:paraId="369566CB" w14:textId="77777777" w:rsidR="00D06C96" w:rsidRDefault="00000000">
      <w:r>
        <w:rPr>
          <w:b/>
          <w:bCs/>
        </w:rPr>
        <w:t xml:space="preserve">Important data quality note: </w:t>
      </w:r>
      <w:r>
        <w:rPr>
          <w:i/>
          <w:iCs/>
        </w:rPr>
        <w:t>A blank cell means the date could not be retrieved from available records – not that the event did not take place.</w:t>
      </w:r>
      <w:r>
        <w:t xml:space="preserve"> All completeness figures reflect retrieval limitations, not clinical absence. Data recording has historically been informal (email-based), which is part of the problem this project aims to address.</w:t>
      </w:r>
    </w:p>
    <w:p w14:paraId="1C9559BB" w14:textId="77777777" w:rsidR="00D06C96" w:rsidRDefault="00D06C96"/>
    <w:p w14:paraId="28A02890" w14:textId="77777777" w:rsidR="00D06C96" w:rsidRDefault="00000000">
      <w:pPr>
        <w:spacing w:after="100"/>
      </w:pPr>
      <w:r>
        <w:t>The workbook contains three sheets: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900"/>
        <w:gridCol w:w="6526"/>
      </w:tblGrid>
      <w:tr w:rsidR="00D06C96" w14:paraId="13B1ED34"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404040"/>
            <w:tcMar>
              <w:top w:w="80" w:type="dxa"/>
              <w:left w:w="120" w:type="dxa"/>
              <w:bottom w:w="80" w:type="dxa"/>
              <w:right w:w="120" w:type="dxa"/>
            </w:tcMar>
          </w:tcPr>
          <w:p w14:paraId="2340D6AF" w14:textId="77777777" w:rsidR="00D06C96" w:rsidRDefault="00000000">
            <w:r>
              <w:rPr>
                <w:b/>
                <w:bCs/>
                <w:color w:val="FFFFFF"/>
              </w:rPr>
              <w:t>Sheet</w:t>
            </w:r>
          </w:p>
        </w:tc>
        <w:tc>
          <w:tcPr>
            <w:tcW w:w="900" w:type="dxa"/>
            <w:tcBorders>
              <w:top w:val="single" w:sz="1" w:space="0" w:color="AAAAAA"/>
              <w:left w:val="single" w:sz="1" w:space="0" w:color="AAAAAA"/>
              <w:bottom w:val="single" w:sz="1" w:space="0" w:color="AAAAAA"/>
              <w:right w:val="single" w:sz="1" w:space="0" w:color="AAAAAA"/>
            </w:tcBorders>
            <w:shd w:val="clear" w:color="auto" w:fill="404040"/>
            <w:tcMar>
              <w:top w:w="80" w:type="dxa"/>
              <w:left w:w="120" w:type="dxa"/>
              <w:bottom w:w="80" w:type="dxa"/>
              <w:right w:w="120" w:type="dxa"/>
            </w:tcMar>
          </w:tcPr>
          <w:p w14:paraId="0978BE29" w14:textId="77777777" w:rsidR="00D06C96" w:rsidRDefault="00000000">
            <w:r>
              <w:rPr>
                <w:b/>
                <w:bCs/>
                <w:color w:val="FFFFFF"/>
              </w:rPr>
              <w:t>Rows</w:t>
            </w:r>
          </w:p>
        </w:tc>
        <w:tc>
          <w:tcPr>
            <w:tcW w:w="6526" w:type="dxa"/>
            <w:tcBorders>
              <w:top w:val="single" w:sz="1" w:space="0" w:color="AAAAAA"/>
              <w:left w:val="single" w:sz="1" w:space="0" w:color="AAAAAA"/>
              <w:bottom w:val="single" w:sz="1" w:space="0" w:color="AAAAAA"/>
              <w:right w:val="single" w:sz="1" w:space="0" w:color="AAAAAA"/>
            </w:tcBorders>
            <w:shd w:val="clear" w:color="auto" w:fill="404040"/>
            <w:tcMar>
              <w:top w:w="80" w:type="dxa"/>
              <w:left w:w="120" w:type="dxa"/>
              <w:bottom w:w="80" w:type="dxa"/>
              <w:right w:w="120" w:type="dxa"/>
            </w:tcMar>
          </w:tcPr>
          <w:p w14:paraId="7823E26A" w14:textId="77777777" w:rsidR="00D06C96" w:rsidRDefault="00000000">
            <w:r>
              <w:rPr>
                <w:b/>
                <w:bCs/>
                <w:color w:val="FFFFFF"/>
              </w:rPr>
              <w:t>Purpose</w:t>
            </w:r>
          </w:p>
        </w:tc>
      </w:tr>
      <w:tr w:rsidR="00D06C96" w14:paraId="7702B3E6"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E59E90" w14:textId="77777777" w:rsidR="00D06C96" w:rsidRDefault="00000000">
            <w:r>
              <w:rPr>
                <w:b/>
                <w:bCs/>
              </w:rPr>
              <w:t>Report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00B668" w14:textId="77777777" w:rsidR="00D06C96" w:rsidRDefault="00000000">
            <w:pPr>
              <w:jc w:val="center"/>
            </w:pPr>
            <w:r>
              <w:t>~119</w:t>
            </w:r>
          </w:p>
        </w:tc>
        <w:tc>
          <w:tcPr>
            <w:tcW w:w="6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62812E" w14:textId="77777777" w:rsidR="00D06C96" w:rsidRDefault="00000000">
            <w:r>
              <w:t>Primary analysis sheet. Contains CTIMP studies with active pharmacy milestone tracking. Used for all analysis in this report. The header row is on row 6; rows 1–5 contain metadata.</w:t>
            </w:r>
          </w:p>
        </w:tc>
      </w:tr>
      <w:tr w:rsidR="00CF451B" w14:paraId="1EA2DCA1" w14:textId="77777777" w:rsidTr="00870F13">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BC77DD" w14:textId="39252487" w:rsidR="00CF451B" w:rsidRDefault="00CF451B">
            <w:r>
              <w:rPr>
                <w:b/>
                <w:bCs/>
              </w:rPr>
              <w:lastRenderedPageBreak/>
              <w:t>Reporters info</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4F3620" w14:textId="05C58DD2" w:rsidR="00CF451B" w:rsidRDefault="00CF451B">
            <w:pPr>
              <w:jc w:val="center"/>
            </w:pPr>
            <w:r>
              <w:t>1</w:t>
            </w:r>
          </w:p>
        </w:tc>
        <w:tc>
          <w:tcPr>
            <w:tcW w:w="6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DC1F20" w14:textId="1B2BB7A1" w:rsidR="00CF451B" w:rsidRDefault="00CF451B">
            <w:r>
              <w:t>Source note confirming data originates from the EDGE report named 'Feasibility timeline.'</w:t>
            </w:r>
          </w:p>
        </w:tc>
      </w:tr>
    </w:tbl>
    <w:p w14:paraId="588B8A3C" w14:textId="77777777" w:rsidR="00D06C96" w:rsidRDefault="00D06C96"/>
    <w:p w14:paraId="7C430FD0" w14:textId="77777777" w:rsidR="00D06C96" w:rsidRDefault="00000000">
      <w:pPr>
        <w:pStyle w:val="Heading1"/>
      </w:pPr>
      <w:r>
        <w:t>3. Column Descriptions (Report Sheet – 21 Columns)</w:t>
      </w:r>
    </w:p>
    <w:p w14:paraId="33C28D9B" w14:textId="77777777" w:rsidR="00D06C96" w:rsidRDefault="00000000">
      <w:r>
        <w:t>The Report sheet contains 21 columns organised into five zones that correspond directly to the process flowchart in Appendix A. The flowchart shows three parallel internal tracks (Pharmacy, Governance/R&amp;D, and Clinical &amp; Ancillary) that all begin at Day 0, the later of HRA approval and site selection, and must all complete before the site can open to recruitment.</w:t>
      </w:r>
    </w:p>
    <w:p w14:paraId="49BF547E" w14:textId="77777777" w:rsidR="00D06C96" w:rsidRDefault="00D06C96"/>
    <w:p w14:paraId="4C192FCD" w14:textId="77777777" w:rsidR="00D06C96" w:rsidRDefault="00000000">
      <w:r>
        <w:rPr>
          <w:b/>
          <w:bCs/>
        </w:rPr>
        <w:t xml:space="preserve">Key finding: </w:t>
      </w:r>
      <w:r>
        <w:t>Only the Pharmacy Track has CT Excel columns. The Governance and Clinical tracks are entirely invisible in this dataset – no columns exist for any of their internal steps.</w:t>
      </w:r>
    </w:p>
    <w:p w14:paraId="7D4BB6FE" w14:textId="77777777" w:rsidR="00D06C96" w:rsidRDefault="00D06C96"/>
    <w:p w14:paraId="5CB82136" w14:textId="77777777" w:rsidR="00D06C96" w:rsidRDefault="00000000">
      <w:r>
        <w:rPr>
          <w:i/>
          <w:iCs/>
        </w:rPr>
        <w:t>In the tables below, bold grey divider rows mark the boundary between process zones. Column numbers match the flowchart annotations in Appendix A.</w:t>
      </w:r>
    </w:p>
    <w:p w14:paraId="1EDF06E3" w14:textId="77777777" w:rsidR="00D06C96" w:rsidRDefault="00D06C96"/>
    <w:p w14:paraId="6D17E603" w14:textId="77777777" w:rsidR="00D06C96" w:rsidRDefault="00000000">
      <w:pPr>
        <w:pStyle w:val="Heading2"/>
      </w:pPr>
      <w:r>
        <w:t>3.1  Zone 1 – Pre-Track and Day 0 Milestones (Columns 1–5)</w:t>
      </w:r>
    </w:p>
    <w:p w14:paraId="48E00018" w14:textId="77777777" w:rsidR="00D06C96" w:rsidRDefault="00000000">
      <w:r>
        <w:t>These columns sit before or at the start of the parallel tracks (top section of the flowchart, Appendix A). They establish the trial's regulatory timeline and mark the point at which the internal 60-day clock begins.</w:t>
      </w:r>
    </w:p>
    <w:p w14:paraId="54706E10" w14:textId="77777777" w:rsidR="00D06C96" w:rsidRDefault="00D06C9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3"/>
        <w:gridCol w:w="1772"/>
        <w:gridCol w:w="1696"/>
        <w:gridCol w:w="3788"/>
        <w:gridCol w:w="1207"/>
      </w:tblGrid>
      <w:tr w:rsidR="00D06C96" w14:paraId="6A9CAF25"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404040"/>
            <w:tcMar>
              <w:top w:w="80" w:type="dxa"/>
              <w:left w:w="120" w:type="dxa"/>
              <w:bottom w:w="80" w:type="dxa"/>
              <w:right w:w="120" w:type="dxa"/>
            </w:tcMar>
          </w:tcPr>
          <w:p w14:paraId="783B3161" w14:textId="77777777" w:rsidR="00D06C96" w:rsidRDefault="00000000">
            <w:pPr>
              <w:jc w:val="center"/>
            </w:pPr>
            <w:r>
              <w:rPr>
                <w:b/>
                <w:bCs/>
                <w:color w:val="FFFFFF"/>
                <w:sz w:val="20"/>
                <w:szCs w:val="20"/>
              </w:rPr>
              <w:t>Col #</w:t>
            </w:r>
          </w:p>
        </w:tc>
        <w:tc>
          <w:tcPr>
            <w:tcW w:w="1900" w:type="dxa"/>
            <w:tcBorders>
              <w:top w:val="single" w:sz="1" w:space="0" w:color="AAAAAA"/>
              <w:left w:val="single" w:sz="1" w:space="0" w:color="AAAAAA"/>
              <w:bottom w:val="single" w:sz="1" w:space="0" w:color="AAAAAA"/>
              <w:right w:val="single" w:sz="1" w:space="0" w:color="AAAAAA"/>
            </w:tcBorders>
            <w:shd w:val="clear" w:color="auto" w:fill="404040"/>
            <w:tcMar>
              <w:top w:w="80" w:type="dxa"/>
              <w:left w:w="120" w:type="dxa"/>
              <w:bottom w:w="80" w:type="dxa"/>
              <w:right w:w="120" w:type="dxa"/>
            </w:tcMar>
          </w:tcPr>
          <w:p w14:paraId="11E240B7" w14:textId="77777777" w:rsidR="00D06C96" w:rsidRDefault="00000000">
            <w:pPr>
              <w:jc w:val="center"/>
            </w:pPr>
            <w:r>
              <w:rPr>
                <w:b/>
                <w:bCs/>
                <w:color w:val="FFFFFF"/>
                <w:sz w:val="20"/>
                <w:szCs w:val="20"/>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404040"/>
            <w:tcMar>
              <w:top w:w="80" w:type="dxa"/>
              <w:left w:w="120" w:type="dxa"/>
              <w:bottom w:w="80" w:type="dxa"/>
              <w:right w:w="120" w:type="dxa"/>
            </w:tcMar>
          </w:tcPr>
          <w:p w14:paraId="2FD9644E" w14:textId="77777777" w:rsidR="00D06C96" w:rsidRDefault="00000000">
            <w:pPr>
              <w:jc w:val="center"/>
            </w:pPr>
            <w:r>
              <w:rPr>
                <w:b/>
                <w:bCs/>
                <w:color w:val="FFFFFF"/>
                <w:sz w:val="20"/>
                <w:szCs w:val="20"/>
              </w:rPr>
              <w:t>Short Name</w:t>
            </w:r>
          </w:p>
        </w:tc>
        <w:tc>
          <w:tcPr>
            <w:tcW w:w="4426" w:type="dxa"/>
            <w:tcBorders>
              <w:top w:val="single" w:sz="1" w:space="0" w:color="AAAAAA"/>
              <w:left w:val="single" w:sz="1" w:space="0" w:color="AAAAAA"/>
              <w:bottom w:val="single" w:sz="1" w:space="0" w:color="AAAAAA"/>
              <w:right w:val="single" w:sz="1" w:space="0" w:color="AAAAAA"/>
            </w:tcBorders>
            <w:shd w:val="clear" w:color="auto" w:fill="404040"/>
            <w:tcMar>
              <w:top w:w="80" w:type="dxa"/>
              <w:left w:w="120" w:type="dxa"/>
              <w:bottom w:w="80" w:type="dxa"/>
              <w:right w:w="120" w:type="dxa"/>
            </w:tcMar>
          </w:tcPr>
          <w:p w14:paraId="41E9C42D" w14:textId="77777777" w:rsidR="00D06C96" w:rsidRDefault="00000000">
            <w:pPr>
              <w:jc w:val="center"/>
            </w:pPr>
            <w:r>
              <w:rPr>
                <w:b/>
                <w:bCs/>
                <w:color w:val="FFFFFF"/>
                <w:sz w:val="20"/>
                <w:szCs w:val="20"/>
              </w:rPr>
              <w:t>Description</w:t>
            </w:r>
          </w:p>
        </w:tc>
        <w:tc>
          <w:tcPr>
            <w:tcW w:w="800" w:type="dxa"/>
            <w:tcBorders>
              <w:top w:val="single" w:sz="1" w:space="0" w:color="AAAAAA"/>
              <w:left w:val="single" w:sz="1" w:space="0" w:color="AAAAAA"/>
              <w:bottom w:val="single" w:sz="1" w:space="0" w:color="AAAAAA"/>
              <w:right w:val="single" w:sz="1" w:space="0" w:color="AAAAAA"/>
            </w:tcBorders>
            <w:shd w:val="clear" w:color="auto" w:fill="404040"/>
            <w:tcMar>
              <w:top w:w="80" w:type="dxa"/>
              <w:left w:w="120" w:type="dxa"/>
              <w:bottom w:w="80" w:type="dxa"/>
              <w:right w:w="120" w:type="dxa"/>
            </w:tcMar>
          </w:tcPr>
          <w:p w14:paraId="4017C2E5" w14:textId="77777777" w:rsidR="00D06C96" w:rsidRDefault="00000000">
            <w:pPr>
              <w:jc w:val="center"/>
            </w:pPr>
            <w:r>
              <w:rPr>
                <w:b/>
                <w:bCs/>
                <w:color w:val="FFFFFF"/>
                <w:sz w:val="20"/>
                <w:szCs w:val="20"/>
              </w:rPr>
              <w:t>% Populated</w:t>
            </w:r>
          </w:p>
        </w:tc>
      </w:tr>
      <w:tr w:rsidR="00D06C96" w14:paraId="20C2DF66" w14:textId="77777777">
        <w:tblPrEx>
          <w:tblCellMar>
            <w:top w:w="0" w:type="dxa"/>
            <w:bottom w:w="0" w:type="dxa"/>
          </w:tblCellMar>
        </w:tblPrEx>
        <w:tc>
          <w:tcPr>
            <w:tcW w:w="9026" w:type="dxa"/>
            <w:gridSpan w:val="5"/>
            <w:tcBorders>
              <w:top w:val="single" w:sz="6" w:space="0" w:color="222222"/>
              <w:left w:val="single" w:sz="1" w:space="0" w:color="AAAAAA"/>
              <w:bottom w:val="single" w:sz="6" w:space="0" w:color="222222"/>
              <w:right w:val="single" w:sz="1" w:space="0" w:color="AAAAAA"/>
            </w:tcBorders>
            <w:shd w:val="clear" w:color="auto" w:fill="D9D9D9"/>
            <w:tcMar>
              <w:top w:w="100" w:type="dxa"/>
              <w:left w:w="200" w:type="dxa"/>
              <w:bottom w:w="100" w:type="dxa"/>
              <w:right w:w="200" w:type="dxa"/>
            </w:tcMar>
          </w:tcPr>
          <w:p w14:paraId="17F8041F" w14:textId="77777777" w:rsidR="00D06C96" w:rsidRDefault="00000000">
            <w:r>
              <w:rPr>
                <w:b/>
                <w:bCs/>
                <w:sz w:val="20"/>
                <w:szCs w:val="20"/>
              </w:rPr>
              <w:t>ZONE 1 — PRE-TRACK AND DAY 0 MILESTONES</w:t>
            </w:r>
          </w:p>
        </w:tc>
      </w:tr>
      <w:tr w:rsidR="00D06C96" w14:paraId="56927D29"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010021" w14:textId="77777777" w:rsidR="00D06C96" w:rsidRDefault="00000000">
            <w:pPr>
              <w:jc w:val="center"/>
            </w:pPr>
            <w:r>
              <w:rPr>
                <w:b/>
                <w:bCs/>
              </w:rPr>
              <w:t>1</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6ED50C" w14:textId="77777777" w:rsidR="00D06C96" w:rsidRDefault="00000000">
            <w:r>
              <w:rPr>
                <w:b/>
                <w:bCs/>
              </w:rPr>
              <w:t>Project Short Title</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EFE5C7" w14:textId="77777777" w:rsidR="00D06C96" w:rsidRDefault="00000000">
            <w:r>
              <w:rPr>
                <w:i/>
                <w:iCs/>
              </w:rPr>
              <w:t>trial_name</w:t>
            </w:r>
          </w:p>
        </w:tc>
        <w:tc>
          <w:tcPr>
            <w:tcW w:w="4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4EFAE0" w14:textId="77777777" w:rsidR="00D06C96" w:rsidRDefault="00000000">
            <w:r>
              <w:t>The abbreviated name of the clinical trial. Used as the primary trial identifier throughout the dataset. Not an analysis column.</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FB5FAE" w14:textId="77777777" w:rsidR="00D06C96" w:rsidRDefault="00000000">
            <w:pPr>
              <w:jc w:val="center"/>
            </w:pPr>
            <w:r>
              <w:t>—</w:t>
            </w:r>
          </w:p>
        </w:tc>
      </w:tr>
      <w:tr w:rsidR="00D06C96" w14:paraId="511AE48C"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D87DC3" w14:textId="77777777" w:rsidR="00D06C96" w:rsidRDefault="00000000">
            <w:pPr>
              <w:jc w:val="center"/>
            </w:pPr>
            <w:r>
              <w:rPr>
                <w:b/>
                <w:bCs/>
              </w:rPr>
              <w:t>2</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5D82F3" w14:textId="77777777" w:rsidR="00D06C96" w:rsidRDefault="00000000">
            <w:r>
              <w:rPr>
                <w:b/>
                <w:bCs/>
              </w:rPr>
              <w:t>Project Site Status</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756757" w14:textId="77777777" w:rsidR="00D06C96" w:rsidRDefault="00000000">
            <w:r>
              <w:rPr>
                <w:i/>
                <w:iCs/>
              </w:rPr>
              <w:t>status</w:t>
            </w:r>
          </w:p>
        </w:tc>
        <w:tc>
          <w:tcPr>
            <w:tcW w:w="4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0A3DE4" w14:textId="77777777" w:rsidR="00D06C96" w:rsidRDefault="00000000">
            <w:r>
              <w:t>The current EDGE system status at LTHTR. Categories include: Open, Feasibility, Closed to Recruitment, Closed – Follow Up Complete, Archived, Declined, Withdrawn, Completed, and others. Used to filter the active trial population for analysis.</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F4F9AC" w14:textId="77777777" w:rsidR="00D06C96" w:rsidRDefault="00000000">
            <w:pPr>
              <w:jc w:val="center"/>
            </w:pPr>
            <w:r>
              <w:t>—</w:t>
            </w:r>
          </w:p>
        </w:tc>
      </w:tr>
      <w:tr w:rsidR="00D06C96" w14:paraId="4CE52C57"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BEA285" w14:textId="77777777" w:rsidR="00D06C96" w:rsidRDefault="00000000">
            <w:pPr>
              <w:jc w:val="center"/>
            </w:pPr>
            <w:r>
              <w:rPr>
                <w:b/>
                <w:bCs/>
              </w:rPr>
              <w:t>3</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6D7068" w14:textId="77777777" w:rsidR="00D06C96" w:rsidRDefault="00000000">
            <w:r>
              <w:rPr>
                <w:b/>
                <w:bCs/>
              </w:rPr>
              <w:t>HRA Approval Date</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7E0013" w14:textId="77777777" w:rsidR="00D06C96" w:rsidRDefault="00000000">
            <w:r>
              <w:rPr>
                <w:i/>
                <w:iCs/>
              </w:rPr>
              <w:t>hra_date</w:t>
            </w:r>
          </w:p>
        </w:tc>
        <w:tc>
          <w:tcPr>
            <w:tcW w:w="4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D5BEE2" w14:textId="77777777" w:rsidR="00D06C96" w:rsidRDefault="00000000">
            <w:r>
              <w:t>The date the Health Research Authority (HRA) granted ethics and regulatory approval. Marks the end of Stage 1 (outside site control) and the start of the 150-day clock. Earliest date in the timeline.</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89FBF" w14:textId="77777777" w:rsidR="00D06C96" w:rsidRDefault="00000000">
            <w:pPr>
              <w:jc w:val="center"/>
            </w:pPr>
            <w:r>
              <w:t>73%</w:t>
            </w:r>
          </w:p>
        </w:tc>
      </w:tr>
      <w:tr w:rsidR="00D06C96" w14:paraId="0417E92B"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E2EA2A" w14:textId="77777777" w:rsidR="00D06C96" w:rsidRDefault="00000000">
            <w:pPr>
              <w:jc w:val="center"/>
            </w:pPr>
            <w:r>
              <w:rPr>
                <w:b/>
                <w:bCs/>
              </w:rPr>
              <w:t>4</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3DF798" w14:textId="77777777" w:rsidR="00D06C96" w:rsidRDefault="00000000">
            <w:r>
              <w:rPr>
                <w:b/>
                <w:bCs/>
              </w:rPr>
              <w:t>Project Site Date – Site Selected</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504DC0" w14:textId="77777777" w:rsidR="00D06C96" w:rsidRDefault="00000000">
            <w:r>
              <w:rPr>
                <w:i/>
                <w:iCs/>
              </w:rPr>
              <w:t>site_selected</w:t>
            </w:r>
          </w:p>
        </w:tc>
        <w:tc>
          <w:tcPr>
            <w:tcW w:w="4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C375D3" w14:textId="77777777" w:rsidR="00D06C96" w:rsidRDefault="00000000">
            <w:r>
              <w:t xml:space="preserve">The date LTHTR was formally confirmed as a participating site by the sponsor. With col 3 (HRA approval) it sets Day 0 – the reference point from which Stage 2 (the 60-day internal target) is </w:t>
            </w:r>
            <w:r>
              <w:lastRenderedPageBreak/>
              <w:t>measured – Day 0 is whichever of the two dates falls later. All three parallel tracks begin from that date (see Appendix A).</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8BE68A" w14:textId="77777777" w:rsidR="00D06C96" w:rsidRDefault="00000000">
            <w:pPr>
              <w:jc w:val="center"/>
            </w:pPr>
            <w:r>
              <w:lastRenderedPageBreak/>
              <w:t>64%</w:t>
            </w:r>
          </w:p>
        </w:tc>
      </w:tr>
      <w:tr w:rsidR="00D06C96" w14:paraId="77EBA132"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58D078" w14:textId="77777777" w:rsidR="00D06C96" w:rsidRDefault="00000000">
            <w:pPr>
              <w:jc w:val="center"/>
            </w:pPr>
            <w:r>
              <w:rPr>
                <w:b/>
                <w:bCs/>
              </w:rPr>
              <w:t>5</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4247C2" w14:textId="77777777" w:rsidR="00D06C96" w:rsidRDefault="00000000">
            <w:r>
              <w:rPr>
                <w:b/>
                <w:bCs/>
              </w:rPr>
              <w:t>Study Starts Official Feasibility</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C7D835" w14:textId="77777777" w:rsidR="00D06C96" w:rsidRDefault="00000000">
            <w:r>
              <w:rPr>
                <w:i/>
                <w:iCs/>
              </w:rPr>
              <w:t>feasibility_start</w:t>
            </w:r>
          </w:p>
        </w:tc>
        <w:tc>
          <w:tcPr>
            <w:tcW w:w="4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BE5753" w14:textId="77777777" w:rsidR="00D06C96" w:rsidRDefault="00000000">
            <w:r>
              <w:t>The date the RSG (Research Setup and Governance) monthly meeting allocated the trial to a named member of staff and official feasibility work began. Marks the transition from the pre-track waiting queue into active internal setup, and triggers pharmacy notification.</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28DE79" w14:textId="77777777" w:rsidR="00D06C96" w:rsidRDefault="00000000">
            <w:pPr>
              <w:jc w:val="center"/>
            </w:pPr>
            <w:r>
              <w:t>29%</w:t>
            </w:r>
          </w:p>
        </w:tc>
      </w:tr>
    </w:tbl>
    <w:p w14:paraId="2593E1D1" w14:textId="77777777" w:rsidR="00D06C96" w:rsidRDefault="00D06C96"/>
    <w:p w14:paraId="354AE2EC" w14:textId="77777777" w:rsidR="00D06C96" w:rsidRDefault="00000000">
      <w:pPr>
        <w:pStyle w:val="Heading2"/>
      </w:pPr>
      <w:r>
        <w:t>3.2  Zone 2 – Pharmacy Track (Columns 6–13)</w:t>
      </w:r>
    </w:p>
    <w:p w14:paraId="14F042F7" w14:textId="77777777" w:rsidR="00D06C96" w:rsidRDefault="00000000">
      <w:r>
        <w:t>The Pharmacy Track is the central focus of this analysis. As shown in the left track of the flowchart (Appendix A), it begins when CT Pharmacy is formally notified to start reviewing the trial (col 6) and ends when pharmacy issues its final sign-off (col 13). Depending on the type of investigational drug, one or two mandatory sub-tracks must be completed before sign-off can be issued.</w:t>
      </w:r>
    </w:p>
    <w:p w14:paraId="6045BF4B" w14:textId="77777777" w:rsidR="00D06C96" w:rsidRDefault="00D06C96"/>
    <w:p w14:paraId="6EC8779C" w14:textId="77777777" w:rsidR="00D06C96" w:rsidRDefault="00000000">
      <w:r>
        <w:t>The four possible pathways through the pharmacy track are:</w:t>
      </w:r>
    </w:p>
    <w:p w14:paraId="1BA193EF" w14:textId="77777777" w:rsidR="00D06C96" w:rsidRDefault="00000000">
      <w:pPr>
        <w:pStyle w:val="ListParagraph"/>
        <w:numPr>
          <w:ilvl w:val="0"/>
          <w:numId w:val="2"/>
        </w:numPr>
      </w:pPr>
      <w:r>
        <w:rPr>
          <w:b/>
          <w:bCs/>
        </w:rPr>
        <w:t xml:space="preserve">Path A – Standard (17 trials): </w:t>
      </w:r>
      <w:r>
        <w:t>No specialist sub-track. CT Pharmacy manages all documentation directly. Internal steps are not captured in the CT Excel.</w:t>
      </w:r>
    </w:p>
    <w:p w14:paraId="20B4FFD5" w14:textId="77777777" w:rsidR="00D06C96" w:rsidRDefault="00000000">
      <w:pPr>
        <w:pStyle w:val="ListParagraph"/>
        <w:numPr>
          <w:ilvl w:val="0"/>
          <w:numId w:val="2"/>
        </w:numPr>
      </w:pPr>
      <w:r>
        <w:rPr>
          <w:b/>
          <w:bCs/>
        </w:rPr>
        <w:t xml:space="preserve">Path B – Aseptic only (4 trials): </w:t>
      </w:r>
      <w:r>
        <w:t>The drug requires sterile preparation in the hospital clean room. Triggers cols 7–9.</w:t>
      </w:r>
    </w:p>
    <w:p w14:paraId="5AC75735" w14:textId="77777777" w:rsidR="00D06C96" w:rsidRDefault="00000000">
      <w:pPr>
        <w:pStyle w:val="ListParagraph"/>
        <w:numPr>
          <w:ilvl w:val="0"/>
          <w:numId w:val="2"/>
        </w:numPr>
      </w:pPr>
      <w:r>
        <w:rPr>
          <w:b/>
          <w:bCs/>
        </w:rPr>
        <w:t xml:space="preserve">Path C – Oncology only (35 trials): </w:t>
      </w:r>
      <w:r>
        <w:t>The drug must be prescribed through the Iqemo electronic prescribing system. Triggers cols 10–12. Most common complex pathway.</w:t>
      </w:r>
    </w:p>
    <w:p w14:paraId="2C697B60" w14:textId="77777777" w:rsidR="00D06C96" w:rsidRDefault="00000000">
      <w:pPr>
        <w:pStyle w:val="ListParagraph"/>
        <w:numPr>
          <w:ilvl w:val="0"/>
          <w:numId w:val="2"/>
        </w:numPr>
      </w:pPr>
      <w:r>
        <w:rPr>
          <w:b/>
          <w:bCs/>
        </w:rPr>
        <w:t xml:space="preserve">Path D – Both in parallel (8 trials): </w:t>
      </w:r>
      <w:r>
        <w:t>Both aseptic and oncology sub-tracks required. Whichever finishes last determines the pharmacy sign-off date.</w:t>
      </w:r>
    </w:p>
    <w:p w14:paraId="65AED3A9" w14:textId="77777777" w:rsidR="00D06C96" w:rsidRDefault="00D06C9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3"/>
        <w:gridCol w:w="1834"/>
        <w:gridCol w:w="1989"/>
        <w:gridCol w:w="3433"/>
        <w:gridCol w:w="1207"/>
      </w:tblGrid>
      <w:tr w:rsidR="00D06C96" w14:paraId="1CC1356E"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404040"/>
            <w:tcMar>
              <w:top w:w="80" w:type="dxa"/>
              <w:left w:w="120" w:type="dxa"/>
              <w:bottom w:w="80" w:type="dxa"/>
              <w:right w:w="120" w:type="dxa"/>
            </w:tcMar>
          </w:tcPr>
          <w:p w14:paraId="7EFAE6AA" w14:textId="77777777" w:rsidR="00D06C96" w:rsidRDefault="00000000">
            <w:pPr>
              <w:jc w:val="center"/>
            </w:pPr>
            <w:r>
              <w:rPr>
                <w:b/>
                <w:bCs/>
                <w:color w:val="FFFFFF"/>
                <w:sz w:val="20"/>
                <w:szCs w:val="20"/>
              </w:rPr>
              <w:t>Col #</w:t>
            </w:r>
          </w:p>
        </w:tc>
        <w:tc>
          <w:tcPr>
            <w:tcW w:w="2000" w:type="dxa"/>
            <w:tcBorders>
              <w:top w:val="single" w:sz="1" w:space="0" w:color="AAAAAA"/>
              <w:left w:val="single" w:sz="1" w:space="0" w:color="AAAAAA"/>
              <w:bottom w:val="single" w:sz="1" w:space="0" w:color="AAAAAA"/>
              <w:right w:val="single" w:sz="1" w:space="0" w:color="AAAAAA"/>
            </w:tcBorders>
            <w:shd w:val="clear" w:color="auto" w:fill="404040"/>
            <w:tcMar>
              <w:top w:w="80" w:type="dxa"/>
              <w:left w:w="120" w:type="dxa"/>
              <w:bottom w:w="80" w:type="dxa"/>
              <w:right w:w="120" w:type="dxa"/>
            </w:tcMar>
          </w:tcPr>
          <w:p w14:paraId="7A6FF3A7" w14:textId="77777777" w:rsidR="00D06C96" w:rsidRDefault="00000000">
            <w:pPr>
              <w:jc w:val="center"/>
            </w:pPr>
            <w:r>
              <w:rPr>
                <w:b/>
                <w:bCs/>
                <w:color w:val="FFFFFF"/>
                <w:sz w:val="20"/>
                <w:szCs w:val="20"/>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404040"/>
            <w:tcMar>
              <w:top w:w="80" w:type="dxa"/>
              <w:left w:w="120" w:type="dxa"/>
              <w:bottom w:w="80" w:type="dxa"/>
              <w:right w:w="120" w:type="dxa"/>
            </w:tcMar>
          </w:tcPr>
          <w:p w14:paraId="33E33D16" w14:textId="77777777" w:rsidR="00D06C96" w:rsidRDefault="00000000">
            <w:pPr>
              <w:jc w:val="center"/>
            </w:pPr>
            <w:r>
              <w:rPr>
                <w:b/>
                <w:bCs/>
                <w:color w:val="FFFFFF"/>
                <w:sz w:val="20"/>
                <w:szCs w:val="20"/>
              </w:rPr>
              <w:t>Short Name</w:t>
            </w:r>
          </w:p>
        </w:tc>
        <w:tc>
          <w:tcPr>
            <w:tcW w:w="4426" w:type="dxa"/>
            <w:tcBorders>
              <w:top w:val="single" w:sz="1" w:space="0" w:color="AAAAAA"/>
              <w:left w:val="single" w:sz="1" w:space="0" w:color="AAAAAA"/>
              <w:bottom w:val="single" w:sz="1" w:space="0" w:color="AAAAAA"/>
              <w:right w:val="single" w:sz="1" w:space="0" w:color="AAAAAA"/>
            </w:tcBorders>
            <w:shd w:val="clear" w:color="auto" w:fill="404040"/>
            <w:tcMar>
              <w:top w:w="80" w:type="dxa"/>
              <w:left w:w="120" w:type="dxa"/>
              <w:bottom w:w="80" w:type="dxa"/>
              <w:right w:w="120" w:type="dxa"/>
            </w:tcMar>
          </w:tcPr>
          <w:p w14:paraId="2FAB52BB" w14:textId="77777777" w:rsidR="00D06C96" w:rsidRDefault="00000000">
            <w:pPr>
              <w:jc w:val="center"/>
            </w:pPr>
            <w:r>
              <w:rPr>
                <w:b/>
                <w:bCs/>
                <w:color w:val="FFFFFF"/>
                <w:sz w:val="20"/>
                <w:szCs w:val="20"/>
              </w:rPr>
              <w:t>Description</w:t>
            </w:r>
          </w:p>
        </w:tc>
        <w:tc>
          <w:tcPr>
            <w:tcW w:w="700" w:type="dxa"/>
            <w:tcBorders>
              <w:top w:val="single" w:sz="1" w:space="0" w:color="AAAAAA"/>
              <w:left w:val="single" w:sz="1" w:space="0" w:color="AAAAAA"/>
              <w:bottom w:val="single" w:sz="1" w:space="0" w:color="AAAAAA"/>
              <w:right w:val="single" w:sz="1" w:space="0" w:color="AAAAAA"/>
            </w:tcBorders>
            <w:shd w:val="clear" w:color="auto" w:fill="404040"/>
            <w:tcMar>
              <w:top w:w="80" w:type="dxa"/>
              <w:left w:w="120" w:type="dxa"/>
              <w:bottom w:w="80" w:type="dxa"/>
              <w:right w:w="120" w:type="dxa"/>
            </w:tcMar>
          </w:tcPr>
          <w:p w14:paraId="5A918C53" w14:textId="77777777" w:rsidR="00D06C96" w:rsidRDefault="00000000">
            <w:pPr>
              <w:jc w:val="center"/>
            </w:pPr>
            <w:r>
              <w:rPr>
                <w:b/>
                <w:bCs/>
                <w:color w:val="FFFFFF"/>
                <w:sz w:val="20"/>
                <w:szCs w:val="20"/>
              </w:rPr>
              <w:t>% Populated</w:t>
            </w:r>
          </w:p>
        </w:tc>
      </w:tr>
      <w:tr w:rsidR="00D06C96" w14:paraId="0DB31CC9" w14:textId="77777777">
        <w:tblPrEx>
          <w:tblCellMar>
            <w:top w:w="0" w:type="dxa"/>
            <w:bottom w:w="0" w:type="dxa"/>
          </w:tblCellMar>
        </w:tblPrEx>
        <w:tc>
          <w:tcPr>
            <w:tcW w:w="9026" w:type="dxa"/>
            <w:gridSpan w:val="5"/>
            <w:tcBorders>
              <w:top w:val="single" w:sz="6" w:space="0" w:color="222222"/>
              <w:left w:val="single" w:sz="1" w:space="0" w:color="AAAAAA"/>
              <w:bottom w:val="single" w:sz="6" w:space="0" w:color="222222"/>
              <w:right w:val="single" w:sz="1" w:space="0" w:color="AAAAAA"/>
            </w:tcBorders>
            <w:shd w:val="clear" w:color="auto" w:fill="D9D9D9"/>
            <w:tcMar>
              <w:top w:w="100" w:type="dxa"/>
              <w:left w:w="200" w:type="dxa"/>
              <w:bottom w:w="100" w:type="dxa"/>
              <w:right w:w="200" w:type="dxa"/>
            </w:tcMar>
          </w:tcPr>
          <w:p w14:paraId="3B2B784E" w14:textId="77777777" w:rsidR="00D06C96" w:rsidRDefault="00000000">
            <w:r>
              <w:rPr>
                <w:b/>
                <w:bCs/>
                <w:sz w:val="20"/>
                <w:szCs w:val="20"/>
              </w:rPr>
              <w:t>ZONE 2A — PHARMACY TRACK START</w:t>
            </w:r>
          </w:p>
        </w:tc>
      </w:tr>
      <w:tr w:rsidR="00D06C96" w14:paraId="0DA0E386"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63F355" w14:textId="77777777" w:rsidR="00D06C96" w:rsidRDefault="00000000">
            <w:pPr>
              <w:jc w:val="center"/>
            </w:pPr>
            <w:r>
              <w:rPr>
                <w:b/>
                <w:bCs/>
              </w:rPr>
              <w:t>6</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7AD314" w14:textId="77777777" w:rsidR="00D06C96" w:rsidRDefault="00000000">
            <w:r>
              <w:rPr>
                <w:b/>
                <w:bCs/>
              </w:rPr>
              <w:t>Pharmacy Notified by RSG – Start Review</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007FE1" w14:textId="77777777" w:rsidR="00D06C96" w:rsidRDefault="00000000">
            <w:r>
              <w:rPr>
                <w:i/>
                <w:iCs/>
              </w:rPr>
              <w:t>pharm_notified</w:t>
            </w:r>
          </w:p>
        </w:tc>
        <w:tc>
          <w:tcPr>
            <w:tcW w:w="4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36BDDF" w14:textId="77777777" w:rsidR="00D06C96" w:rsidRDefault="00000000">
            <w:r>
              <w:t>The date CT Pharmacy was formally instructed to begin reviewing the trial as an outcome of the monthly RSG meeting. This is the start of the Pharmacy Track clock. Communicated by email only – no system records this date, making it the primary data gap in the dataset.</w:t>
            </w:r>
          </w:p>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1ED366" w14:textId="77777777" w:rsidR="00D06C96" w:rsidRDefault="00000000">
            <w:pPr>
              <w:jc w:val="center"/>
            </w:pPr>
            <w:r>
              <w:t>24%</w:t>
            </w:r>
          </w:p>
        </w:tc>
      </w:tr>
      <w:tr w:rsidR="00D06C96" w14:paraId="2B0D9948" w14:textId="77777777">
        <w:tblPrEx>
          <w:tblCellMar>
            <w:top w:w="0" w:type="dxa"/>
            <w:bottom w:w="0" w:type="dxa"/>
          </w:tblCellMar>
        </w:tblPrEx>
        <w:tc>
          <w:tcPr>
            <w:tcW w:w="9026" w:type="dxa"/>
            <w:gridSpan w:val="5"/>
            <w:tcBorders>
              <w:top w:val="single" w:sz="6" w:space="0" w:color="222222"/>
              <w:left w:val="single" w:sz="1" w:space="0" w:color="AAAAAA"/>
              <w:bottom w:val="single" w:sz="6" w:space="0" w:color="222222"/>
              <w:right w:val="single" w:sz="1" w:space="0" w:color="AAAAAA"/>
            </w:tcBorders>
            <w:shd w:val="clear" w:color="auto" w:fill="D9D9D9"/>
            <w:tcMar>
              <w:top w:w="100" w:type="dxa"/>
              <w:left w:w="200" w:type="dxa"/>
              <w:bottom w:w="100" w:type="dxa"/>
              <w:right w:w="200" w:type="dxa"/>
            </w:tcMar>
          </w:tcPr>
          <w:p w14:paraId="70453BA2" w14:textId="77777777" w:rsidR="00D06C96" w:rsidRDefault="00000000">
            <w:r>
              <w:rPr>
                <w:b/>
                <w:bCs/>
                <w:sz w:val="20"/>
                <w:szCs w:val="20"/>
              </w:rPr>
              <w:t>ZONE 2B — ASEPTIC SERVICES SUB-TRACK (Paths B and D only — sterile injectable drugs)</w:t>
            </w:r>
          </w:p>
        </w:tc>
      </w:tr>
      <w:tr w:rsidR="00D06C96" w14:paraId="58E7A119"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BE3A7E" w14:textId="77777777" w:rsidR="00D06C96" w:rsidRDefault="00000000">
            <w:pPr>
              <w:jc w:val="center"/>
            </w:pPr>
            <w:r>
              <w:rPr>
                <w:b/>
                <w:bCs/>
              </w:rPr>
              <w:t>7</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D6DDB8" w14:textId="77777777" w:rsidR="00D06C96" w:rsidRDefault="00000000">
            <w:r>
              <w:rPr>
                <w:b/>
                <w:bCs/>
              </w:rPr>
              <w:t>Pharmacy CT Notify Aseptic Services</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04D5E8" w14:textId="77777777" w:rsidR="00D06C96" w:rsidRDefault="00000000">
            <w:r>
              <w:rPr>
                <w:i/>
                <w:iCs/>
              </w:rPr>
              <w:t>aseptic_notified</w:t>
            </w:r>
          </w:p>
        </w:tc>
        <w:tc>
          <w:tcPr>
            <w:tcW w:w="4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8ED4B5" w14:textId="77777777" w:rsidR="00D06C96" w:rsidRDefault="00000000">
            <w:r>
              <w:t>The date CT Pharmacy handed off to the Aseptic Services unit to begin sterile drug preparation work. Communicated by email with no formal capture.</w:t>
            </w:r>
          </w:p>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832323" w14:textId="77777777" w:rsidR="00D06C96" w:rsidRDefault="00000000">
            <w:pPr>
              <w:jc w:val="center"/>
            </w:pPr>
            <w:r>
              <w:t>8%</w:t>
            </w:r>
          </w:p>
        </w:tc>
      </w:tr>
      <w:tr w:rsidR="00D06C96" w14:paraId="199E4D5A"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1C1C71" w14:textId="77777777" w:rsidR="00D06C96" w:rsidRDefault="00000000">
            <w:pPr>
              <w:jc w:val="center"/>
            </w:pPr>
            <w:r>
              <w:rPr>
                <w:b/>
                <w:bCs/>
              </w:rPr>
              <w:lastRenderedPageBreak/>
              <w:t>8</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7BE527" w14:textId="77777777" w:rsidR="00D06C96" w:rsidRDefault="00000000">
            <w:r>
              <w:rPr>
                <w:b/>
                <w:bCs/>
              </w:rPr>
              <w:t>Date Aseptic PPCTI Signed Off</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12FBA8" w14:textId="77777777" w:rsidR="00D06C96" w:rsidRDefault="00000000">
            <w:r>
              <w:rPr>
                <w:i/>
                <w:iCs/>
              </w:rPr>
              <w:t>ppcti_signed</w:t>
            </w:r>
          </w:p>
        </w:tc>
        <w:tc>
          <w:tcPr>
            <w:tcW w:w="4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4D4AD9" w14:textId="77777777" w:rsidR="00D06C96" w:rsidRDefault="00000000">
            <w:r>
              <w:t>The date the Aseptic Services team completed the Pre-Production Clinical Trial Information (PPCTI) checklist (also known as the Product Information Record, PIR). First formal internal gate: verifies all product documentation before manufacturing can begin. Tracked on a manual whiteboard as a binary tick only – no date is ever recorded.</w:t>
            </w:r>
          </w:p>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3D5979" w14:textId="77777777" w:rsidR="00D06C96" w:rsidRDefault="00000000">
            <w:pPr>
              <w:jc w:val="center"/>
            </w:pPr>
            <w:r>
              <w:t>0%</w:t>
            </w:r>
          </w:p>
        </w:tc>
      </w:tr>
      <w:tr w:rsidR="00D06C96" w14:paraId="3A302510"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0A39BA" w14:textId="77777777" w:rsidR="00D06C96" w:rsidRDefault="00000000">
            <w:pPr>
              <w:jc w:val="center"/>
            </w:pPr>
            <w:r>
              <w:rPr>
                <w:b/>
                <w:bCs/>
              </w:rPr>
              <w:t>9</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559213" w14:textId="77777777" w:rsidR="00D06C96" w:rsidRDefault="00000000">
            <w:r>
              <w:rPr>
                <w:b/>
                <w:bCs/>
              </w:rPr>
              <w:t>Date Aseptic BMR Authorised</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D1C643" w14:textId="77777777" w:rsidR="00D06C96" w:rsidRDefault="00000000">
            <w:r>
              <w:rPr>
                <w:i/>
                <w:iCs/>
              </w:rPr>
              <w:t>bmr_authorised</w:t>
            </w:r>
          </w:p>
        </w:tc>
        <w:tc>
          <w:tcPr>
            <w:tcW w:w="4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AFA646" w14:textId="77777777" w:rsidR="00D06C96" w:rsidRDefault="00000000">
            <w:r>
              <w:t>The date the Batch Manufacturing Record (BMR) was independently authorised. The BMR is the GMP-required document specifying how each patient dose will be prepared. A confirmed bottleneck: PIR/PPCTI is often complete but BMR remains pending, and the reason for delay is not recorded anywhere.</w:t>
            </w:r>
          </w:p>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8A8C2C" w14:textId="77777777" w:rsidR="00D06C96" w:rsidRDefault="00000000">
            <w:pPr>
              <w:jc w:val="center"/>
            </w:pPr>
            <w:r>
              <w:t>3%</w:t>
            </w:r>
          </w:p>
        </w:tc>
      </w:tr>
      <w:tr w:rsidR="00D06C96" w14:paraId="09026A06" w14:textId="77777777">
        <w:tblPrEx>
          <w:tblCellMar>
            <w:top w:w="0" w:type="dxa"/>
            <w:bottom w:w="0" w:type="dxa"/>
          </w:tblCellMar>
        </w:tblPrEx>
        <w:tc>
          <w:tcPr>
            <w:tcW w:w="9026" w:type="dxa"/>
            <w:gridSpan w:val="5"/>
            <w:tcBorders>
              <w:top w:val="single" w:sz="6" w:space="0" w:color="222222"/>
              <w:left w:val="single" w:sz="1" w:space="0" w:color="AAAAAA"/>
              <w:bottom w:val="single" w:sz="6" w:space="0" w:color="222222"/>
              <w:right w:val="single" w:sz="1" w:space="0" w:color="AAAAAA"/>
            </w:tcBorders>
            <w:shd w:val="clear" w:color="auto" w:fill="D9D9D9"/>
            <w:tcMar>
              <w:top w:w="100" w:type="dxa"/>
              <w:left w:w="200" w:type="dxa"/>
              <w:bottom w:w="100" w:type="dxa"/>
              <w:right w:w="200" w:type="dxa"/>
            </w:tcMar>
          </w:tcPr>
          <w:p w14:paraId="640AAFAD" w14:textId="77777777" w:rsidR="00D06C96" w:rsidRDefault="00000000">
            <w:r>
              <w:rPr>
                <w:b/>
                <w:bCs/>
                <w:sz w:val="20"/>
                <w:szCs w:val="20"/>
              </w:rPr>
              <w:t>ZONE 2C — ONCOLOGY PHARMACISTS SUB-TRACK (Paths C and D only — oncology drugs via Iqemo)</w:t>
            </w:r>
          </w:p>
        </w:tc>
      </w:tr>
      <w:tr w:rsidR="00D06C96" w14:paraId="1E086C1B"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AA2A6B" w14:textId="77777777" w:rsidR="00D06C96" w:rsidRDefault="00000000">
            <w:pPr>
              <w:jc w:val="center"/>
            </w:pPr>
            <w:r>
              <w:rPr>
                <w:b/>
                <w:bCs/>
              </w:rPr>
              <w:t>10</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2A1439" w14:textId="77777777" w:rsidR="00D06C96" w:rsidRDefault="00000000">
            <w:r>
              <w:rPr>
                <w:b/>
                <w:bCs/>
              </w:rPr>
              <w:t>Pharmacy CT Notify Oncology Pharmacists</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56C83D" w14:textId="77777777" w:rsidR="00D06C96" w:rsidRDefault="00000000">
            <w:r>
              <w:rPr>
                <w:i/>
                <w:iCs/>
              </w:rPr>
              <w:t>onco_notified</w:t>
            </w:r>
          </w:p>
        </w:tc>
        <w:tc>
          <w:tcPr>
            <w:tcW w:w="4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4CBDD4" w14:textId="77777777" w:rsidR="00D06C96" w:rsidRDefault="00000000">
            <w:r>
              <w:t>The date CT Pharmacy instructed the oncology pharmacists to begin building the trial's Iqemo prescription template. Communicated by email; no formal date capture.</w:t>
            </w:r>
          </w:p>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1B368C" w14:textId="77777777" w:rsidR="00D06C96" w:rsidRDefault="00000000">
            <w:pPr>
              <w:jc w:val="center"/>
            </w:pPr>
            <w:r>
              <w:t>5%</w:t>
            </w:r>
          </w:p>
        </w:tc>
      </w:tr>
      <w:tr w:rsidR="00D06C96" w14:paraId="63B49E22"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281A14" w14:textId="77777777" w:rsidR="00D06C96" w:rsidRDefault="00000000">
            <w:pPr>
              <w:jc w:val="center"/>
            </w:pPr>
            <w:r>
              <w:rPr>
                <w:b/>
                <w:bCs/>
              </w:rPr>
              <w:t>11</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D5C0A" w14:textId="77777777" w:rsidR="00D06C96" w:rsidRDefault="00000000">
            <w:r>
              <w:rPr>
                <w:b/>
                <w:bCs/>
              </w:rPr>
              <w:t>Iqemo Template Set Up</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40BF41" w14:textId="77777777" w:rsidR="00D06C96" w:rsidRDefault="00000000">
            <w:r>
              <w:rPr>
                <w:i/>
                <w:iCs/>
              </w:rPr>
              <w:t>iqemo_setup</w:t>
            </w:r>
          </w:p>
        </w:tc>
        <w:tc>
          <w:tcPr>
            <w:tcW w:w="4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F5EF5D" w14:textId="77777777" w:rsidR="00D06C96" w:rsidRDefault="00000000">
            <w:r>
              <w:t>The date the oncology pharmacist created the prescription template in Iqemo (dosing regimens, weight/BSA calculations, administration routes, cycle structures, pre-medications). The start date has never been captured. A retrospective Iqemo system export could potentially recover these dates.</w:t>
            </w:r>
          </w:p>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EC98F3" w14:textId="77777777" w:rsidR="00D06C96" w:rsidRDefault="00000000">
            <w:pPr>
              <w:jc w:val="center"/>
            </w:pPr>
            <w:r>
              <w:t>0%</w:t>
            </w:r>
          </w:p>
        </w:tc>
      </w:tr>
      <w:tr w:rsidR="00D06C96" w14:paraId="37AE4D4D"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2361DC" w14:textId="77777777" w:rsidR="00D06C96" w:rsidRDefault="00000000">
            <w:pPr>
              <w:jc w:val="center"/>
            </w:pPr>
            <w:r>
              <w:rPr>
                <w:b/>
                <w:bCs/>
              </w:rPr>
              <w:t>12</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6DF0CB" w14:textId="77777777" w:rsidR="00D06C96" w:rsidRDefault="00000000">
            <w:r>
              <w:rPr>
                <w:b/>
                <w:bCs/>
              </w:rPr>
              <w:t>Iqemo Template Authorised</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BB543E" w14:textId="77777777" w:rsidR="00D06C96" w:rsidRDefault="00000000">
            <w:r>
              <w:rPr>
                <w:i/>
                <w:iCs/>
              </w:rPr>
              <w:t>iqemo_authorised</w:t>
            </w:r>
          </w:p>
        </w:tc>
        <w:tc>
          <w:tcPr>
            <w:tcW w:w="4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9BA6B7" w14:textId="77777777" w:rsidR="00D06C96" w:rsidRDefault="00000000">
            <w:r>
              <w:t>The date the Iqemo template was independently approved by a second pharmacist or clinical lead. A mandatory two-person check before any prescribing can occur. Best-captured internal pharmacy milestone because Iqemo records the authorisation digitally.</w:t>
            </w:r>
          </w:p>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578C4E" w14:textId="77777777" w:rsidR="00D06C96" w:rsidRDefault="00000000">
            <w:pPr>
              <w:jc w:val="center"/>
            </w:pPr>
            <w:r>
              <w:t>35%</w:t>
            </w:r>
          </w:p>
        </w:tc>
      </w:tr>
      <w:tr w:rsidR="00D06C96" w14:paraId="6873AB81" w14:textId="77777777">
        <w:tblPrEx>
          <w:tblCellMar>
            <w:top w:w="0" w:type="dxa"/>
            <w:bottom w:w="0" w:type="dxa"/>
          </w:tblCellMar>
        </w:tblPrEx>
        <w:tc>
          <w:tcPr>
            <w:tcW w:w="9026" w:type="dxa"/>
            <w:gridSpan w:val="5"/>
            <w:tcBorders>
              <w:top w:val="single" w:sz="6" w:space="0" w:color="222222"/>
              <w:left w:val="single" w:sz="1" w:space="0" w:color="AAAAAA"/>
              <w:bottom w:val="single" w:sz="6" w:space="0" w:color="222222"/>
              <w:right w:val="single" w:sz="1" w:space="0" w:color="AAAAAA"/>
            </w:tcBorders>
            <w:shd w:val="clear" w:color="auto" w:fill="D9D9D9"/>
            <w:tcMar>
              <w:top w:w="100" w:type="dxa"/>
              <w:left w:w="200" w:type="dxa"/>
              <w:bottom w:w="100" w:type="dxa"/>
              <w:right w:w="200" w:type="dxa"/>
            </w:tcMar>
          </w:tcPr>
          <w:p w14:paraId="34D848F5" w14:textId="77777777" w:rsidR="00D06C96" w:rsidRDefault="00000000">
            <w:r>
              <w:rPr>
                <w:b/>
                <w:bCs/>
                <w:sz w:val="20"/>
                <w:szCs w:val="20"/>
              </w:rPr>
              <w:lastRenderedPageBreak/>
              <w:t>ZONE 2D — PHARMACY TRACK END</w:t>
            </w:r>
          </w:p>
        </w:tc>
      </w:tr>
      <w:tr w:rsidR="00D06C96" w14:paraId="791CD9B7"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875F29" w14:textId="77777777" w:rsidR="00D06C96" w:rsidRDefault="00000000">
            <w:pPr>
              <w:jc w:val="center"/>
            </w:pPr>
            <w:r>
              <w:rPr>
                <w:b/>
                <w:bCs/>
              </w:rPr>
              <w:t>13</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5A85EE" w14:textId="77777777" w:rsidR="00D06C96" w:rsidRDefault="00000000">
            <w:r>
              <w:rPr>
                <w:b/>
                <w:bCs/>
              </w:rPr>
              <w:t>Pharmacy Greenlight Approval</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D0D3B9" w14:textId="77777777" w:rsidR="00D06C96" w:rsidRDefault="00000000">
            <w:r>
              <w:rPr>
                <w:i/>
                <w:iCs/>
              </w:rPr>
              <w:t>pharm_greenlight</w:t>
            </w:r>
          </w:p>
        </w:tc>
        <w:tc>
          <w:tcPr>
            <w:tcW w:w="4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575F5D" w14:textId="77777777" w:rsidR="00D06C96" w:rsidRDefault="00000000">
            <w:r>
              <w:t>The date pharmacy formally confirmed readiness to support the trial. All applicable sub-tracks must be complete before this can be issued. This is the primary output variable of the pharmacy track analysis.</w:t>
            </w:r>
          </w:p>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F22FB4" w14:textId="77777777" w:rsidR="00D06C96" w:rsidRDefault="00000000">
            <w:pPr>
              <w:jc w:val="center"/>
            </w:pPr>
            <w:r>
              <w:t>23%</w:t>
            </w:r>
          </w:p>
        </w:tc>
      </w:tr>
    </w:tbl>
    <w:p w14:paraId="62D92CB3" w14:textId="77777777" w:rsidR="00D06C96" w:rsidRDefault="00D06C96"/>
    <w:p w14:paraId="4094CC88" w14:textId="77777777" w:rsidR="00D06C96" w:rsidRDefault="00000000">
      <w:pPr>
        <w:pStyle w:val="Heading2"/>
      </w:pPr>
      <w:r>
        <w:t>3.3  Zone 3 – Governance / R&amp;D Track</w:t>
      </w:r>
    </w:p>
    <w:p w14:paraId="277760C3" w14:textId="77777777" w:rsidR="00D06C96" w:rsidRDefault="00000000">
      <w:r>
        <w:t>As shown in the middle track of the flowchart (Appendix A), the Governance/R&amp;D Track covers five internal steps: (1) contract review, (2) budget agreement, (3) Capability and Confirmation (C&amp;C) capacity assessment, (4) delegation log completion, and (5) EDGE milestone entry. All five steps run in parallel with the Pharmacy Track from Day 0.</w:t>
      </w:r>
    </w:p>
    <w:p w14:paraId="29C7ED23" w14:textId="77777777" w:rsidR="00D06C96" w:rsidRDefault="00D06C96"/>
    <w:p w14:paraId="75E11873" w14:textId="77777777" w:rsidR="00D06C96" w:rsidRDefault="00000000">
      <w:r>
        <w:rPr>
          <w:b/>
          <w:bCs/>
        </w:rPr>
        <w:t>No CT Excel columns exist for any step in this track.</w:t>
      </w:r>
      <w:r>
        <w:t xml:space="preserve"> The entire governance process is invisible in this dataset. This is a significant analytical gap: governance track durations would need to be estimated from other sources or expert elicitation for any discrete-event simulation model.</w:t>
      </w:r>
    </w:p>
    <w:p w14:paraId="5773F195" w14:textId="77777777" w:rsidR="00D06C96" w:rsidRDefault="00D06C96"/>
    <w:p w14:paraId="1607BA12" w14:textId="77777777" w:rsidR="00D06C96" w:rsidRDefault="00000000">
      <w:pPr>
        <w:pStyle w:val="Heading2"/>
      </w:pPr>
      <w:r>
        <w:t>3.4  Zone 4 – Clinical &amp; Ancillary Track</w:t>
      </w:r>
    </w:p>
    <w:p w14:paraId="417A0F51" w14:textId="77777777" w:rsidR="00D06C96" w:rsidRDefault="00000000">
      <w:r>
        <w:t>As shown in the right track of the flowchart (Appendix A), the Clinical &amp; Ancillary Track covers departmental feasibility checks (radiology, pathology, etc.), PI confirmation, staff GCP training, delegation log completion for clinical roles, and clinical sign-off. All steps run in parallel from Day 0.</w:t>
      </w:r>
    </w:p>
    <w:p w14:paraId="02AA7AE9" w14:textId="77777777" w:rsidR="00D06C96" w:rsidRDefault="00D06C96"/>
    <w:p w14:paraId="6139E002" w14:textId="77777777" w:rsidR="00D06C96" w:rsidRDefault="00000000">
      <w:r>
        <w:rPr>
          <w:b/>
          <w:bCs/>
        </w:rPr>
        <w:t>No CT Excel columns exist for any step in this track.</w:t>
      </w:r>
      <w:r>
        <w:t xml:space="preserve"> The entire clinical track is invisible in this dataset.</w:t>
      </w:r>
    </w:p>
    <w:p w14:paraId="0453A2BF" w14:textId="77777777" w:rsidR="00D06C96" w:rsidRDefault="00D06C96"/>
    <w:p w14:paraId="179720BA" w14:textId="77777777" w:rsidR="00D06C96" w:rsidRDefault="00000000">
      <w:pPr>
        <w:pStyle w:val="Heading2"/>
      </w:pPr>
      <w:r>
        <w:t>3.5  Zone 5 – Post-Convergence Milestones (Columns 14–21)</w:t>
      </w:r>
    </w:p>
    <w:p w14:paraId="1BCF40E9" w14:textId="77777777" w:rsidR="00D06C96" w:rsidRDefault="00000000">
      <w:r>
        <w:t>These columns capture milestones that occur after all three tracks have completed (bottom section of the flowchart, Appendix A). They are the most reliably populated fields in the dataset because they originate from the national EDGE system and from formal sponsor-issued documents rather than informal internal communications.</w:t>
      </w:r>
    </w:p>
    <w:p w14:paraId="78F9ED1A" w14:textId="77777777" w:rsidR="00D06C96" w:rsidRDefault="00D06C9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3"/>
        <w:gridCol w:w="1871"/>
        <w:gridCol w:w="1757"/>
        <w:gridCol w:w="3628"/>
        <w:gridCol w:w="1207"/>
      </w:tblGrid>
      <w:tr w:rsidR="00D06C96" w14:paraId="4304082A"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404040"/>
            <w:tcMar>
              <w:top w:w="80" w:type="dxa"/>
              <w:left w:w="120" w:type="dxa"/>
              <w:bottom w:w="80" w:type="dxa"/>
              <w:right w:w="120" w:type="dxa"/>
            </w:tcMar>
          </w:tcPr>
          <w:p w14:paraId="270A0312" w14:textId="77777777" w:rsidR="00D06C96" w:rsidRDefault="00000000">
            <w:pPr>
              <w:jc w:val="center"/>
            </w:pPr>
            <w:r>
              <w:rPr>
                <w:b/>
                <w:bCs/>
                <w:color w:val="FFFFFF"/>
                <w:sz w:val="20"/>
                <w:szCs w:val="20"/>
              </w:rPr>
              <w:t>Col #</w:t>
            </w:r>
          </w:p>
        </w:tc>
        <w:tc>
          <w:tcPr>
            <w:tcW w:w="2000" w:type="dxa"/>
            <w:tcBorders>
              <w:top w:val="single" w:sz="1" w:space="0" w:color="AAAAAA"/>
              <w:left w:val="single" w:sz="1" w:space="0" w:color="AAAAAA"/>
              <w:bottom w:val="single" w:sz="1" w:space="0" w:color="AAAAAA"/>
              <w:right w:val="single" w:sz="1" w:space="0" w:color="AAAAAA"/>
            </w:tcBorders>
            <w:shd w:val="clear" w:color="auto" w:fill="404040"/>
            <w:tcMar>
              <w:top w:w="80" w:type="dxa"/>
              <w:left w:w="120" w:type="dxa"/>
              <w:bottom w:w="80" w:type="dxa"/>
              <w:right w:w="120" w:type="dxa"/>
            </w:tcMar>
          </w:tcPr>
          <w:p w14:paraId="46249059" w14:textId="77777777" w:rsidR="00D06C96" w:rsidRDefault="00000000">
            <w:pPr>
              <w:jc w:val="center"/>
            </w:pPr>
            <w:r>
              <w:rPr>
                <w:b/>
                <w:bCs/>
                <w:color w:val="FFFFFF"/>
                <w:sz w:val="20"/>
                <w:szCs w:val="20"/>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404040"/>
            <w:tcMar>
              <w:top w:w="80" w:type="dxa"/>
              <w:left w:w="120" w:type="dxa"/>
              <w:bottom w:w="80" w:type="dxa"/>
              <w:right w:w="120" w:type="dxa"/>
            </w:tcMar>
          </w:tcPr>
          <w:p w14:paraId="03C272C3" w14:textId="77777777" w:rsidR="00D06C96" w:rsidRDefault="00000000">
            <w:pPr>
              <w:jc w:val="center"/>
            </w:pPr>
            <w:r>
              <w:rPr>
                <w:b/>
                <w:bCs/>
                <w:color w:val="FFFFFF"/>
                <w:sz w:val="20"/>
                <w:szCs w:val="20"/>
              </w:rPr>
              <w:t>Short Name</w:t>
            </w:r>
          </w:p>
        </w:tc>
        <w:tc>
          <w:tcPr>
            <w:tcW w:w="4326" w:type="dxa"/>
            <w:tcBorders>
              <w:top w:val="single" w:sz="1" w:space="0" w:color="AAAAAA"/>
              <w:left w:val="single" w:sz="1" w:space="0" w:color="AAAAAA"/>
              <w:bottom w:val="single" w:sz="1" w:space="0" w:color="AAAAAA"/>
              <w:right w:val="single" w:sz="1" w:space="0" w:color="AAAAAA"/>
            </w:tcBorders>
            <w:shd w:val="clear" w:color="auto" w:fill="404040"/>
            <w:tcMar>
              <w:top w:w="80" w:type="dxa"/>
              <w:left w:w="120" w:type="dxa"/>
              <w:bottom w:w="80" w:type="dxa"/>
              <w:right w:w="120" w:type="dxa"/>
            </w:tcMar>
          </w:tcPr>
          <w:p w14:paraId="55B960CE" w14:textId="77777777" w:rsidR="00D06C96" w:rsidRDefault="00000000">
            <w:pPr>
              <w:jc w:val="center"/>
            </w:pPr>
            <w:r>
              <w:rPr>
                <w:b/>
                <w:bCs/>
                <w:color w:val="FFFFFF"/>
                <w:sz w:val="20"/>
                <w:szCs w:val="20"/>
              </w:rPr>
              <w:t>Description</w:t>
            </w:r>
          </w:p>
        </w:tc>
        <w:tc>
          <w:tcPr>
            <w:tcW w:w="800" w:type="dxa"/>
            <w:tcBorders>
              <w:top w:val="single" w:sz="1" w:space="0" w:color="AAAAAA"/>
              <w:left w:val="single" w:sz="1" w:space="0" w:color="AAAAAA"/>
              <w:bottom w:val="single" w:sz="1" w:space="0" w:color="AAAAAA"/>
              <w:right w:val="single" w:sz="1" w:space="0" w:color="AAAAAA"/>
            </w:tcBorders>
            <w:shd w:val="clear" w:color="auto" w:fill="404040"/>
            <w:tcMar>
              <w:top w:w="80" w:type="dxa"/>
              <w:left w:w="120" w:type="dxa"/>
              <w:bottom w:w="80" w:type="dxa"/>
              <w:right w:w="120" w:type="dxa"/>
            </w:tcMar>
          </w:tcPr>
          <w:p w14:paraId="43C3A0FE" w14:textId="77777777" w:rsidR="00D06C96" w:rsidRDefault="00000000">
            <w:pPr>
              <w:jc w:val="center"/>
            </w:pPr>
            <w:r>
              <w:rPr>
                <w:b/>
                <w:bCs/>
                <w:color w:val="FFFFFF"/>
                <w:sz w:val="20"/>
                <w:szCs w:val="20"/>
              </w:rPr>
              <w:t>% Populated</w:t>
            </w:r>
          </w:p>
        </w:tc>
      </w:tr>
      <w:tr w:rsidR="00D06C96" w14:paraId="58F4257C" w14:textId="77777777">
        <w:tblPrEx>
          <w:tblCellMar>
            <w:top w:w="0" w:type="dxa"/>
            <w:bottom w:w="0" w:type="dxa"/>
          </w:tblCellMar>
        </w:tblPrEx>
        <w:tc>
          <w:tcPr>
            <w:tcW w:w="9026" w:type="dxa"/>
            <w:gridSpan w:val="5"/>
            <w:tcBorders>
              <w:top w:val="single" w:sz="6" w:space="0" w:color="222222"/>
              <w:left w:val="single" w:sz="1" w:space="0" w:color="AAAAAA"/>
              <w:bottom w:val="single" w:sz="6" w:space="0" w:color="222222"/>
              <w:right w:val="single" w:sz="1" w:space="0" w:color="AAAAAA"/>
            </w:tcBorders>
            <w:shd w:val="clear" w:color="auto" w:fill="D9D9D9"/>
            <w:tcMar>
              <w:top w:w="100" w:type="dxa"/>
              <w:left w:w="200" w:type="dxa"/>
              <w:bottom w:w="100" w:type="dxa"/>
              <w:right w:w="200" w:type="dxa"/>
            </w:tcMar>
          </w:tcPr>
          <w:p w14:paraId="0CBA0F93" w14:textId="77777777" w:rsidR="00D06C96" w:rsidRDefault="00000000">
            <w:r>
              <w:rPr>
                <w:b/>
                <w:bCs/>
                <w:sz w:val="20"/>
                <w:szCs w:val="20"/>
              </w:rPr>
              <w:t>ZONE 5 — POST-CONVERGENCE MILESTONES</w:t>
            </w:r>
          </w:p>
        </w:tc>
      </w:tr>
      <w:tr w:rsidR="00D06C96" w14:paraId="09C341EC"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4EF0E5" w14:textId="77777777" w:rsidR="00D06C96" w:rsidRDefault="00000000">
            <w:pPr>
              <w:jc w:val="center"/>
            </w:pPr>
            <w:r>
              <w:rPr>
                <w:b/>
                <w:bCs/>
              </w:rPr>
              <w:t>14</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7C5BC7" w14:textId="77777777" w:rsidR="00D06C96" w:rsidRDefault="00000000">
            <w:r>
              <w:rPr>
                <w:b/>
                <w:bCs/>
              </w:rPr>
              <w:t>Planned SIV Date</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D9D249" w14:textId="77777777" w:rsidR="00D06C96" w:rsidRDefault="00000000">
            <w:r>
              <w:rPr>
                <w:i/>
                <w:iCs/>
              </w:rPr>
              <w:t>siv_planned</w:t>
            </w:r>
          </w:p>
        </w:tc>
        <w:tc>
          <w:tcPr>
            <w:tcW w:w="4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65110F" w14:textId="77777777" w:rsidR="00D06C96" w:rsidRDefault="00000000">
            <w:r>
              <w:t>The pre-agreed date for the Site Initiation Visit (SIV), set by the trial sponsor. The SIV is a mandatory sponsor-led training event. It falls in the gap period between internal setup completion and site opening and is not counted in the 60-day internal clock.</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4C64C9" w14:textId="77777777" w:rsidR="00D06C96" w:rsidRDefault="00000000">
            <w:pPr>
              <w:jc w:val="center"/>
            </w:pPr>
            <w:r>
              <w:t>23%</w:t>
            </w:r>
          </w:p>
        </w:tc>
      </w:tr>
      <w:tr w:rsidR="00D06C96" w14:paraId="5ACEB32E"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C4B87A" w14:textId="77777777" w:rsidR="00D06C96" w:rsidRDefault="00000000">
            <w:pPr>
              <w:jc w:val="center"/>
            </w:pPr>
            <w:r>
              <w:rPr>
                <w:b/>
                <w:bCs/>
              </w:rPr>
              <w:lastRenderedPageBreak/>
              <w:t>15</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E5ED92" w14:textId="77777777" w:rsidR="00D06C96" w:rsidRDefault="00000000">
            <w:r>
              <w:rPr>
                <w:b/>
                <w:bCs/>
              </w:rPr>
              <w:t>SIV – Actual</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D7DE4B" w14:textId="77777777" w:rsidR="00D06C96" w:rsidRDefault="00000000">
            <w:r>
              <w:rPr>
                <w:i/>
                <w:iCs/>
              </w:rPr>
              <w:t>siv_actual</w:t>
            </w:r>
          </w:p>
        </w:tc>
        <w:tc>
          <w:tcPr>
            <w:tcW w:w="4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77BE70" w14:textId="77777777" w:rsidR="00D06C96" w:rsidRDefault="00000000">
            <w:r>
              <w:t>The actual date the SIV took place. Entirely sponsor-controlled; LTHTR cannot influence its timing. Median SIV slip (planned vs. actual) is 0 days; mean is 36 days; maximum observed delay is 293 days.</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D18457" w14:textId="77777777" w:rsidR="00D06C96" w:rsidRDefault="00000000">
            <w:pPr>
              <w:jc w:val="center"/>
            </w:pPr>
            <w:r>
              <w:t>22%</w:t>
            </w:r>
          </w:p>
        </w:tc>
      </w:tr>
      <w:tr w:rsidR="00D06C96" w14:paraId="2C11679F"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BCC0AE" w14:textId="77777777" w:rsidR="00D06C96" w:rsidRDefault="00000000">
            <w:pPr>
              <w:jc w:val="center"/>
            </w:pPr>
            <w:r>
              <w:rPr>
                <w:b/>
                <w:bCs/>
              </w:rPr>
              <w:t>16</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38AC4D" w14:textId="77777777" w:rsidR="00D06C96" w:rsidRDefault="00000000">
            <w:r>
              <w:rPr>
                <w:b/>
                <w:bCs/>
              </w:rPr>
              <w:t>Date of C&amp;C</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36DEB0" w14:textId="77777777" w:rsidR="00D06C96" w:rsidRDefault="00000000">
            <w:r>
              <w:rPr>
                <w:i/>
                <w:iCs/>
              </w:rPr>
              <w:t>cc_date</w:t>
            </w:r>
          </w:p>
        </w:tc>
        <w:tc>
          <w:tcPr>
            <w:tcW w:w="4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09E22D" w14:textId="77777777" w:rsidR="00D06C96" w:rsidRDefault="00000000">
            <w:r>
              <w:t>The date the Capability and Confirmation (C&amp;C) Agreement was signed – a formal post-SIV sponsor document confirming LTHTR has full capacity and capability to run the trial. Note: this is NOT the same as the internal Governance Track C&amp;C capacity assessment (step 3 of the governance track in Appendix A). The data confirms they are different events: the SIV (col 15) always precedes this agreement (col 16).</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36A2D3" w14:textId="77777777" w:rsidR="00D06C96" w:rsidRDefault="00000000">
            <w:pPr>
              <w:jc w:val="center"/>
            </w:pPr>
            <w:r>
              <w:t>24%</w:t>
            </w:r>
          </w:p>
        </w:tc>
      </w:tr>
      <w:tr w:rsidR="00D06C96" w14:paraId="64DC221B"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C118FA" w14:textId="77777777" w:rsidR="00D06C96" w:rsidRDefault="00000000">
            <w:pPr>
              <w:jc w:val="center"/>
            </w:pPr>
            <w:r>
              <w:rPr>
                <w:b/>
                <w:bCs/>
              </w:rPr>
              <w:t>17</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E7FCF9" w14:textId="77777777" w:rsidR="00D06C96" w:rsidRDefault="00000000">
            <w:r>
              <w:rPr>
                <w:b/>
                <w:bCs/>
              </w:rPr>
              <w:t>Date of Green Light</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E0A13E" w14:textId="77777777" w:rsidR="00D06C96" w:rsidRDefault="00000000">
            <w:r>
              <w:rPr>
                <w:i/>
                <w:iCs/>
              </w:rPr>
              <w:t>greenlight_date</w:t>
            </w:r>
          </w:p>
        </w:tc>
        <w:tc>
          <w:tcPr>
            <w:tcW w:w="4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96979F" w14:textId="77777777" w:rsidR="00D06C96" w:rsidRDefault="00000000">
            <w:r>
              <w:t>The date the sponsor issued their formal Green Light, confirming all documentation is complete and the site may open to recruitment. Follows the C&amp;C Agreement (median gap: 1 day; mean: 32 days).</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438F45" w14:textId="77777777" w:rsidR="00D06C96" w:rsidRDefault="00000000">
            <w:pPr>
              <w:jc w:val="center"/>
            </w:pPr>
            <w:r>
              <w:t>23%</w:t>
            </w:r>
          </w:p>
        </w:tc>
      </w:tr>
      <w:tr w:rsidR="00D06C96" w14:paraId="63615665"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15500E" w14:textId="77777777" w:rsidR="00D06C96" w:rsidRDefault="00000000">
            <w:pPr>
              <w:jc w:val="center"/>
            </w:pPr>
            <w:r>
              <w:rPr>
                <w:b/>
                <w:bCs/>
              </w:rPr>
              <w:t>18</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AD18A8" w14:textId="77777777" w:rsidR="00D06C96" w:rsidRDefault="00000000">
            <w:r>
              <w:rPr>
                <w:b/>
                <w:bCs/>
              </w:rPr>
              <w:t>Delays – Sponsor / CRA</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97AA56" w14:textId="77777777" w:rsidR="00D06C96" w:rsidRDefault="00000000">
            <w:r>
              <w:rPr>
                <w:i/>
                <w:iCs/>
              </w:rPr>
              <w:t>delay_sponsor</w:t>
            </w:r>
          </w:p>
        </w:tc>
        <w:tc>
          <w:tcPr>
            <w:tcW w:w="4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6EA61F" w14:textId="77777777" w:rsidR="00D06C96" w:rsidRDefault="00000000">
            <w:r>
              <w:t>Free-text notes on delays caused by the sponsor or Clinical Research Associate (CRA). Examples: 'Stock of IMP was delayed'; 'OPEN LABEL PART NOT OPEN UNTIL MID-DEC 2024.' Qualitative only – not suitable for quantitative analysis.</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E7B6EC" w14:textId="77777777" w:rsidR="00D06C96" w:rsidRDefault="00000000">
            <w:pPr>
              <w:jc w:val="center"/>
            </w:pPr>
            <w:r>
              <w:t>—</w:t>
            </w:r>
          </w:p>
        </w:tc>
      </w:tr>
      <w:tr w:rsidR="00D06C96" w14:paraId="591F1560"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3C58A7" w14:textId="77777777" w:rsidR="00D06C96" w:rsidRDefault="00000000">
            <w:pPr>
              <w:jc w:val="center"/>
            </w:pPr>
            <w:r>
              <w:rPr>
                <w:b/>
                <w:bCs/>
              </w:rPr>
              <w:t>19</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21D117" w14:textId="77777777" w:rsidR="00D06C96" w:rsidRDefault="00000000">
            <w:r>
              <w:rPr>
                <w:b/>
                <w:bCs/>
              </w:rPr>
              <w:t>Delays – LTHTr</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5F31B3" w14:textId="77777777" w:rsidR="00D06C96" w:rsidRDefault="00000000">
            <w:r>
              <w:rPr>
                <w:i/>
                <w:iCs/>
              </w:rPr>
              <w:t>delay_lthtr</w:t>
            </w:r>
          </w:p>
        </w:tc>
        <w:tc>
          <w:tcPr>
            <w:tcW w:w="4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0291C4" w14:textId="77777777" w:rsidR="00D06C96" w:rsidRDefault="00000000">
            <w:r>
              <w:t>Free-text notes on delays caused internally at LTHTR. Examples: 'PI was off sick'; 'HRA PACK PROVIDED WITHOUT FULL REGULATORY APPROVALS.' Qualitative only.</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9F0210" w14:textId="77777777" w:rsidR="00D06C96" w:rsidRDefault="00000000">
            <w:pPr>
              <w:jc w:val="center"/>
            </w:pPr>
            <w:r>
              <w:t>—</w:t>
            </w:r>
          </w:p>
        </w:tc>
      </w:tr>
      <w:tr w:rsidR="00D06C96" w14:paraId="7ED8159B"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83DD91" w14:textId="77777777" w:rsidR="00D06C96" w:rsidRDefault="00000000">
            <w:pPr>
              <w:jc w:val="center"/>
            </w:pPr>
            <w:r>
              <w:rPr>
                <w:b/>
                <w:bCs/>
              </w:rPr>
              <w:t>20</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D7C76A" w14:textId="77777777" w:rsidR="00D06C96" w:rsidRDefault="00000000">
            <w:r>
              <w:rPr>
                <w:b/>
                <w:bCs/>
              </w:rPr>
              <w:t>Project Site Date Open to Recruitment</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09E8C7" w14:textId="77777777" w:rsidR="00D06C96" w:rsidRDefault="00000000">
            <w:r>
              <w:rPr>
                <w:i/>
                <w:iCs/>
              </w:rPr>
              <w:t>open_date</w:t>
            </w:r>
          </w:p>
        </w:tc>
        <w:tc>
          <w:tcPr>
            <w:tcW w:w="4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33E7C5" w14:textId="77777777" w:rsidR="00D06C96" w:rsidRDefault="00000000">
            <w:r>
              <w:t>The date the site officially opened and could begin enrolling patients. Recorded in the EDGE system. This is the Stage 2 end point – the 60-day target runs from Day 0, the later of col 3 (HRA approval) and col 4 (site selected), to this date. Median observed Stage 2 duration: 133.5 days (n=70); 78.6% of trials exceed the 60-day target. Three trials whose recorded open date precedes their clock start are excluded as impossible.</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4F435C" w14:textId="77777777" w:rsidR="00D06C96" w:rsidRDefault="00000000">
            <w:pPr>
              <w:jc w:val="center"/>
            </w:pPr>
            <w:r>
              <w:t>63%</w:t>
            </w:r>
          </w:p>
        </w:tc>
      </w:tr>
      <w:tr w:rsidR="00D06C96" w14:paraId="7646B888"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C1DECF" w14:textId="77777777" w:rsidR="00D06C96" w:rsidRDefault="00000000">
            <w:pPr>
              <w:jc w:val="center"/>
            </w:pPr>
            <w:r>
              <w:rPr>
                <w:b/>
                <w:bCs/>
              </w:rPr>
              <w:lastRenderedPageBreak/>
              <w:t>21</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8D7CA6" w14:textId="77777777" w:rsidR="00D06C96" w:rsidRDefault="00000000">
            <w:r>
              <w:rPr>
                <w:b/>
                <w:bCs/>
              </w:rPr>
              <w:t>First Site Participant Recruited</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F3B0CA" w14:textId="77777777" w:rsidR="00D06C96" w:rsidRDefault="00000000">
            <w:r>
              <w:rPr>
                <w:i/>
                <w:iCs/>
              </w:rPr>
              <w:t>first_patient</w:t>
            </w:r>
          </w:p>
        </w:tc>
        <w:tc>
          <w:tcPr>
            <w:tcW w:w="4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D20FF9" w14:textId="77777777" w:rsidR="00D06C96" w:rsidRDefault="00000000">
            <w:r>
              <w:t>The date the first patient gave informed consent and was recruited. Marks the start of Stage 3. Stage 3 is not counted in the 150-day clock. Gap between site opening (col 20) and first patient: median 72 days, mean 118 days (n=67).</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BB8E16" w14:textId="77777777" w:rsidR="00D06C96" w:rsidRDefault="00000000">
            <w:pPr>
              <w:jc w:val="center"/>
            </w:pPr>
            <w:r>
              <w:t>58%</w:t>
            </w:r>
          </w:p>
        </w:tc>
      </w:tr>
    </w:tbl>
    <w:p w14:paraId="122231BF" w14:textId="77777777" w:rsidR="00D06C96" w:rsidRDefault="00D06C96"/>
    <w:p w14:paraId="44DB14EC" w14:textId="77777777" w:rsidR="00D06C96" w:rsidRDefault="00000000">
      <w:pPr>
        <w:pStyle w:val="Heading1"/>
      </w:pPr>
      <w:r>
        <w:t>4. Data Completeness Summary</w:t>
      </w:r>
    </w:p>
    <w:p w14:paraId="23BE85D7" w14:textId="77777777" w:rsidR="00D06C96" w:rsidRDefault="00000000">
      <w:r>
        <w:t>The table below summarises completeness for all 17 date columns across the 119 trials in the Report sheet, ranked from most to least complete. Completeness percentages are also annotated on the flowchart in Appendix A for ease of reference. The two free-text columns (cols 18–19) are excluded as they are qualitative.</w:t>
      </w:r>
    </w:p>
    <w:p w14:paraId="5F21565B" w14:textId="77777777" w:rsidR="00D06C96" w:rsidRDefault="00D06C96"/>
    <w:tbl>
      <w:tblPr>
        <w:tblW w:w="66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3"/>
        <w:gridCol w:w="1911"/>
        <w:gridCol w:w="1989"/>
        <w:gridCol w:w="974"/>
        <w:gridCol w:w="1207"/>
      </w:tblGrid>
      <w:tr w:rsidR="00CF451B" w14:paraId="715EF678" w14:textId="77777777" w:rsidTr="00CF451B">
        <w:tblPrEx>
          <w:tblCellMar>
            <w:top w:w="0" w:type="dxa"/>
            <w:bottom w:w="0" w:type="dxa"/>
          </w:tblCellMar>
        </w:tblPrEx>
        <w:trPr>
          <w:jc w:val="center"/>
        </w:trPr>
        <w:tc>
          <w:tcPr>
            <w:tcW w:w="563" w:type="dxa"/>
            <w:tcBorders>
              <w:top w:val="single" w:sz="1" w:space="0" w:color="AAAAAA"/>
              <w:left w:val="single" w:sz="1" w:space="0" w:color="AAAAAA"/>
              <w:bottom w:val="single" w:sz="1" w:space="0" w:color="AAAAAA"/>
              <w:right w:val="single" w:sz="1" w:space="0" w:color="AAAAAA"/>
            </w:tcBorders>
            <w:shd w:val="clear" w:color="auto" w:fill="404040"/>
            <w:tcMar>
              <w:top w:w="80" w:type="dxa"/>
              <w:left w:w="120" w:type="dxa"/>
              <w:bottom w:w="80" w:type="dxa"/>
              <w:right w:w="120" w:type="dxa"/>
            </w:tcMar>
          </w:tcPr>
          <w:p w14:paraId="1CFAC551" w14:textId="77777777" w:rsidR="00CF451B" w:rsidRDefault="00CF451B">
            <w:pPr>
              <w:jc w:val="center"/>
            </w:pPr>
            <w:r>
              <w:rPr>
                <w:b/>
                <w:bCs/>
                <w:color w:val="FFFFFF"/>
                <w:sz w:val="20"/>
                <w:szCs w:val="20"/>
              </w:rPr>
              <w:t>Col</w:t>
            </w:r>
          </w:p>
        </w:tc>
        <w:tc>
          <w:tcPr>
            <w:tcW w:w="1911" w:type="dxa"/>
            <w:tcBorders>
              <w:top w:val="single" w:sz="1" w:space="0" w:color="AAAAAA"/>
              <w:left w:val="single" w:sz="1" w:space="0" w:color="AAAAAA"/>
              <w:bottom w:val="single" w:sz="1" w:space="0" w:color="AAAAAA"/>
              <w:right w:val="single" w:sz="1" w:space="0" w:color="AAAAAA"/>
            </w:tcBorders>
            <w:shd w:val="clear" w:color="auto" w:fill="404040"/>
            <w:tcMar>
              <w:top w:w="80" w:type="dxa"/>
              <w:left w:w="120" w:type="dxa"/>
              <w:bottom w:w="80" w:type="dxa"/>
              <w:right w:w="120" w:type="dxa"/>
            </w:tcMar>
          </w:tcPr>
          <w:p w14:paraId="5B706940" w14:textId="77777777" w:rsidR="00CF451B" w:rsidRDefault="00CF451B">
            <w:pPr>
              <w:jc w:val="center"/>
            </w:pPr>
            <w:r>
              <w:rPr>
                <w:b/>
                <w:bCs/>
                <w:color w:val="FFFFFF"/>
                <w:sz w:val="20"/>
                <w:szCs w:val="20"/>
              </w:rPr>
              <w:t>Field Name</w:t>
            </w:r>
          </w:p>
        </w:tc>
        <w:tc>
          <w:tcPr>
            <w:tcW w:w="1989" w:type="dxa"/>
            <w:tcBorders>
              <w:top w:val="single" w:sz="1" w:space="0" w:color="AAAAAA"/>
              <w:left w:val="single" w:sz="1" w:space="0" w:color="AAAAAA"/>
              <w:bottom w:val="single" w:sz="1" w:space="0" w:color="AAAAAA"/>
              <w:right w:val="single" w:sz="1" w:space="0" w:color="AAAAAA"/>
            </w:tcBorders>
            <w:shd w:val="clear" w:color="auto" w:fill="404040"/>
            <w:tcMar>
              <w:top w:w="80" w:type="dxa"/>
              <w:left w:w="120" w:type="dxa"/>
              <w:bottom w:w="80" w:type="dxa"/>
              <w:right w:w="120" w:type="dxa"/>
            </w:tcMar>
          </w:tcPr>
          <w:p w14:paraId="02829844" w14:textId="77777777" w:rsidR="00CF451B" w:rsidRDefault="00CF451B">
            <w:pPr>
              <w:jc w:val="center"/>
            </w:pPr>
            <w:r>
              <w:rPr>
                <w:b/>
                <w:bCs/>
                <w:color w:val="FFFFFF"/>
                <w:sz w:val="20"/>
                <w:szCs w:val="20"/>
              </w:rPr>
              <w:t>Short Name</w:t>
            </w:r>
          </w:p>
        </w:tc>
        <w:tc>
          <w:tcPr>
            <w:tcW w:w="974" w:type="dxa"/>
            <w:tcBorders>
              <w:top w:val="single" w:sz="1" w:space="0" w:color="AAAAAA"/>
              <w:left w:val="single" w:sz="1" w:space="0" w:color="AAAAAA"/>
              <w:bottom w:val="single" w:sz="1" w:space="0" w:color="AAAAAA"/>
              <w:right w:val="single" w:sz="1" w:space="0" w:color="AAAAAA"/>
            </w:tcBorders>
            <w:shd w:val="clear" w:color="auto" w:fill="404040"/>
            <w:tcMar>
              <w:top w:w="80" w:type="dxa"/>
              <w:left w:w="120" w:type="dxa"/>
              <w:bottom w:w="80" w:type="dxa"/>
              <w:right w:w="120" w:type="dxa"/>
            </w:tcMar>
          </w:tcPr>
          <w:p w14:paraId="67181E46" w14:textId="77777777" w:rsidR="00CF451B" w:rsidRDefault="00CF451B">
            <w:pPr>
              <w:jc w:val="center"/>
            </w:pPr>
            <w:r>
              <w:rPr>
                <w:b/>
                <w:bCs/>
                <w:color w:val="FFFFFF"/>
                <w:sz w:val="20"/>
                <w:szCs w:val="20"/>
              </w:rPr>
              <w:t>Present (n)</w:t>
            </w:r>
          </w:p>
        </w:tc>
        <w:tc>
          <w:tcPr>
            <w:tcW w:w="1207" w:type="dxa"/>
            <w:tcBorders>
              <w:top w:val="single" w:sz="1" w:space="0" w:color="AAAAAA"/>
              <w:left w:val="single" w:sz="1" w:space="0" w:color="AAAAAA"/>
              <w:bottom w:val="single" w:sz="1" w:space="0" w:color="AAAAAA"/>
              <w:right w:val="single" w:sz="1" w:space="0" w:color="AAAAAA"/>
            </w:tcBorders>
            <w:shd w:val="clear" w:color="auto" w:fill="404040"/>
            <w:tcMar>
              <w:top w:w="80" w:type="dxa"/>
              <w:left w:w="120" w:type="dxa"/>
              <w:bottom w:w="80" w:type="dxa"/>
              <w:right w:w="120" w:type="dxa"/>
            </w:tcMar>
          </w:tcPr>
          <w:p w14:paraId="234E5EC4" w14:textId="77777777" w:rsidR="00CF451B" w:rsidRDefault="00CF451B">
            <w:pPr>
              <w:jc w:val="center"/>
            </w:pPr>
            <w:r>
              <w:rPr>
                <w:b/>
                <w:bCs/>
                <w:color w:val="FFFFFF"/>
                <w:sz w:val="20"/>
                <w:szCs w:val="20"/>
              </w:rPr>
              <w:t>% Populated</w:t>
            </w:r>
          </w:p>
        </w:tc>
      </w:tr>
      <w:tr w:rsidR="00CF451B" w14:paraId="45EFF707" w14:textId="77777777" w:rsidTr="00CF451B">
        <w:tblPrEx>
          <w:tblCellMar>
            <w:top w:w="0" w:type="dxa"/>
            <w:bottom w:w="0" w:type="dxa"/>
          </w:tblCellMar>
        </w:tblPrEx>
        <w:trPr>
          <w:jc w:val="center"/>
        </w:trPr>
        <w:tc>
          <w:tcPr>
            <w:tcW w:w="5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207359" w14:textId="77777777" w:rsidR="00CF451B" w:rsidRDefault="00CF451B">
            <w:pPr>
              <w:jc w:val="center"/>
            </w:pPr>
            <w:r>
              <w:rPr>
                <w:b/>
                <w:bCs/>
              </w:rPr>
              <w:t>3</w:t>
            </w:r>
          </w:p>
        </w:tc>
        <w:tc>
          <w:tcPr>
            <w:tcW w:w="19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F5D54E" w14:textId="77777777" w:rsidR="00CF451B" w:rsidRDefault="00CF451B">
            <w:r>
              <w:rPr>
                <w:b/>
                <w:bCs/>
              </w:rPr>
              <w:t>HRA Approval Date</w:t>
            </w:r>
          </w:p>
        </w:tc>
        <w:tc>
          <w:tcPr>
            <w:tcW w:w="198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04DF1D" w14:textId="77777777" w:rsidR="00CF451B" w:rsidRDefault="00CF451B">
            <w:r>
              <w:rPr>
                <w:i/>
                <w:iCs/>
              </w:rPr>
              <w:t>hra_date</w:t>
            </w:r>
          </w:p>
        </w:tc>
        <w:tc>
          <w:tcPr>
            <w:tcW w:w="9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F023D7" w14:textId="77777777" w:rsidR="00CF451B" w:rsidRDefault="00CF451B">
            <w:pPr>
              <w:jc w:val="center"/>
            </w:pPr>
            <w:r>
              <w:t>87 / 119</w:t>
            </w:r>
          </w:p>
        </w:tc>
        <w:tc>
          <w:tcPr>
            <w:tcW w:w="12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9BD3D0" w14:textId="77777777" w:rsidR="00CF451B" w:rsidRDefault="00CF451B">
            <w:pPr>
              <w:jc w:val="center"/>
            </w:pPr>
            <w:r>
              <w:t>73%</w:t>
            </w:r>
          </w:p>
        </w:tc>
      </w:tr>
      <w:tr w:rsidR="00CF451B" w14:paraId="10E6D3A6" w14:textId="77777777" w:rsidTr="00CF451B">
        <w:tblPrEx>
          <w:tblCellMar>
            <w:top w:w="0" w:type="dxa"/>
            <w:bottom w:w="0" w:type="dxa"/>
          </w:tblCellMar>
        </w:tblPrEx>
        <w:trPr>
          <w:jc w:val="center"/>
        </w:trPr>
        <w:tc>
          <w:tcPr>
            <w:tcW w:w="563"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21E4A5BB" w14:textId="77777777" w:rsidR="00CF451B" w:rsidRDefault="00CF451B">
            <w:pPr>
              <w:jc w:val="center"/>
            </w:pPr>
            <w:r>
              <w:rPr>
                <w:b/>
                <w:bCs/>
              </w:rPr>
              <w:t>4</w:t>
            </w:r>
          </w:p>
        </w:tc>
        <w:tc>
          <w:tcPr>
            <w:tcW w:w="1911"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5BB6B6C5" w14:textId="77777777" w:rsidR="00CF451B" w:rsidRDefault="00CF451B">
            <w:r>
              <w:rPr>
                <w:b/>
                <w:bCs/>
              </w:rPr>
              <w:t>Site Selected</w:t>
            </w:r>
          </w:p>
        </w:tc>
        <w:tc>
          <w:tcPr>
            <w:tcW w:w="1989"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0B8E9A7B" w14:textId="77777777" w:rsidR="00CF451B" w:rsidRDefault="00CF451B">
            <w:r>
              <w:rPr>
                <w:i/>
                <w:iCs/>
              </w:rPr>
              <w:t>site_selected</w:t>
            </w:r>
          </w:p>
        </w:tc>
        <w:tc>
          <w:tcPr>
            <w:tcW w:w="974"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78C91E46" w14:textId="77777777" w:rsidR="00CF451B" w:rsidRDefault="00CF451B">
            <w:pPr>
              <w:jc w:val="center"/>
            </w:pPr>
            <w:r>
              <w:t>76 / 119</w:t>
            </w:r>
          </w:p>
        </w:tc>
        <w:tc>
          <w:tcPr>
            <w:tcW w:w="1207"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569B491B" w14:textId="77777777" w:rsidR="00CF451B" w:rsidRDefault="00CF451B">
            <w:pPr>
              <w:jc w:val="center"/>
            </w:pPr>
            <w:r>
              <w:t>64%</w:t>
            </w:r>
          </w:p>
        </w:tc>
      </w:tr>
      <w:tr w:rsidR="00CF451B" w14:paraId="33D2E86C" w14:textId="77777777" w:rsidTr="00CF451B">
        <w:tblPrEx>
          <w:tblCellMar>
            <w:top w:w="0" w:type="dxa"/>
            <w:bottom w:w="0" w:type="dxa"/>
          </w:tblCellMar>
        </w:tblPrEx>
        <w:trPr>
          <w:jc w:val="center"/>
        </w:trPr>
        <w:tc>
          <w:tcPr>
            <w:tcW w:w="5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523FE1" w14:textId="77777777" w:rsidR="00CF451B" w:rsidRDefault="00CF451B">
            <w:pPr>
              <w:jc w:val="center"/>
            </w:pPr>
            <w:r>
              <w:rPr>
                <w:b/>
                <w:bCs/>
              </w:rPr>
              <w:t>5</w:t>
            </w:r>
          </w:p>
        </w:tc>
        <w:tc>
          <w:tcPr>
            <w:tcW w:w="19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695389" w14:textId="77777777" w:rsidR="00CF451B" w:rsidRDefault="00CF451B">
            <w:r>
              <w:rPr>
                <w:b/>
                <w:bCs/>
              </w:rPr>
              <w:t>Feasibility Start</w:t>
            </w:r>
          </w:p>
        </w:tc>
        <w:tc>
          <w:tcPr>
            <w:tcW w:w="198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B67C78" w14:textId="77777777" w:rsidR="00CF451B" w:rsidRDefault="00CF451B">
            <w:r>
              <w:rPr>
                <w:i/>
                <w:iCs/>
              </w:rPr>
              <w:t>feasibility_start</w:t>
            </w:r>
          </w:p>
        </w:tc>
        <w:tc>
          <w:tcPr>
            <w:tcW w:w="9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D2064C" w14:textId="77777777" w:rsidR="00CF451B" w:rsidRDefault="00CF451B">
            <w:pPr>
              <w:jc w:val="center"/>
            </w:pPr>
            <w:r>
              <w:t>35 / 119</w:t>
            </w:r>
          </w:p>
        </w:tc>
        <w:tc>
          <w:tcPr>
            <w:tcW w:w="12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487171" w14:textId="77777777" w:rsidR="00CF451B" w:rsidRDefault="00CF451B">
            <w:pPr>
              <w:jc w:val="center"/>
            </w:pPr>
            <w:r>
              <w:t>29%</w:t>
            </w:r>
          </w:p>
        </w:tc>
      </w:tr>
      <w:tr w:rsidR="00CF451B" w14:paraId="06681D5B" w14:textId="77777777" w:rsidTr="00CF451B">
        <w:tblPrEx>
          <w:tblCellMar>
            <w:top w:w="0" w:type="dxa"/>
            <w:bottom w:w="0" w:type="dxa"/>
          </w:tblCellMar>
        </w:tblPrEx>
        <w:trPr>
          <w:jc w:val="center"/>
        </w:trPr>
        <w:tc>
          <w:tcPr>
            <w:tcW w:w="5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6ECAFC" w14:textId="77777777" w:rsidR="00CF451B" w:rsidRDefault="00CF451B">
            <w:pPr>
              <w:jc w:val="center"/>
            </w:pPr>
            <w:r>
              <w:rPr>
                <w:b/>
                <w:bCs/>
              </w:rPr>
              <w:t>6</w:t>
            </w:r>
          </w:p>
        </w:tc>
        <w:tc>
          <w:tcPr>
            <w:tcW w:w="19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6E02D6" w14:textId="77777777" w:rsidR="00CF451B" w:rsidRDefault="00CF451B">
            <w:r>
              <w:rPr>
                <w:b/>
                <w:bCs/>
              </w:rPr>
              <w:t>Pharmacy Notified by RSG</w:t>
            </w:r>
          </w:p>
        </w:tc>
        <w:tc>
          <w:tcPr>
            <w:tcW w:w="198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6F84B1" w14:textId="77777777" w:rsidR="00CF451B" w:rsidRDefault="00CF451B">
            <w:r>
              <w:rPr>
                <w:i/>
                <w:iCs/>
              </w:rPr>
              <w:t>pharm_notified</w:t>
            </w:r>
          </w:p>
        </w:tc>
        <w:tc>
          <w:tcPr>
            <w:tcW w:w="9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422F93" w14:textId="77777777" w:rsidR="00CF451B" w:rsidRDefault="00CF451B">
            <w:pPr>
              <w:jc w:val="center"/>
            </w:pPr>
            <w:r>
              <w:t>29 / 119</w:t>
            </w:r>
          </w:p>
        </w:tc>
        <w:tc>
          <w:tcPr>
            <w:tcW w:w="12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27F9DD" w14:textId="77777777" w:rsidR="00CF451B" w:rsidRDefault="00CF451B">
            <w:pPr>
              <w:jc w:val="center"/>
            </w:pPr>
            <w:r>
              <w:t>24%</w:t>
            </w:r>
          </w:p>
        </w:tc>
      </w:tr>
      <w:tr w:rsidR="00CF451B" w14:paraId="46344E9B" w14:textId="77777777" w:rsidTr="00CF451B">
        <w:tblPrEx>
          <w:tblCellMar>
            <w:top w:w="0" w:type="dxa"/>
            <w:bottom w:w="0" w:type="dxa"/>
          </w:tblCellMar>
        </w:tblPrEx>
        <w:trPr>
          <w:jc w:val="center"/>
        </w:trPr>
        <w:tc>
          <w:tcPr>
            <w:tcW w:w="563"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633AF004" w14:textId="77777777" w:rsidR="00CF451B" w:rsidRDefault="00CF451B">
            <w:pPr>
              <w:jc w:val="center"/>
            </w:pPr>
            <w:r>
              <w:rPr>
                <w:b/>
                <w:bCs/>
              </w:rPr>
              <w:t>7</w:t>
            </w:r>
          </w:p>
        </w:tc>
        <w:tc>
          <w:tcPr>
            <w:tcW w:w="1911"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6716BFFD" w14:textId="77777777" w:rsidR="00CF451B" w:rsidRDefault="00CF451B">
            <w:r>
              <w:rPr>
                <w:b/>
                <w:bCs/>
              </w:rPr>
              <w:t>Aseptic Services Notified</w:t>
            </w:r>
          </w:p>
        </w:tc>
        <w:tc>
          <w:tcPr>
            <w:tcW w:w="1989"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6ED03462" w14:textId="77777777" w:rsidR="00CF451B" w:rsidRDefault="00CF451B">
            <w:r>
              <w:rPr>
                <w:i/>
                <w:iCs/>
              </w:rPr>
              <w:t>aseptic_notified</w:t>
            </w:r>
          </w:p>
        </w:tc>
        <w:tc>
          <w:tcPr>
            <w:tcW w:w="974"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44768DE2" w14:textId="77777777" w:rsidR="00CF451B" w:rsidRDefault="00CF451B">
            <w:pPr>
              <w:jc w:val="center"/>
            </w:pPr>
            <w:r>
              <w:t>9 / 119</w:t>
            </w:r>
          </w:p>
        </w:tc>
        <w:tc>
          <w:tcPr>
            <w:tcW w:w="1207"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132E01BA" w14:textId="77777777" w:rsidR="00CF451B" w:rsidRDefault="00CF451B">
            <w:pPr>
              <w:jc w:val="center"/>
            </w:pPr>
            <w:r>
              <w:t>8%</w:t>
            </w:r>
          </w:p>
        </w:tc>
      </w:tr>
      <w:tr w:rsidR="00CF451B" w14:paraId="6B09FCD7" w14:textId="77777777" w:rsidTr="00CF451B">
        <w:tblPrEx>
          <w:tblCellMar>
            <w:top w:w="0" w:type="dxa"/>
            <w:bottom w:w="0" w:type="dxa"/>
          </w:tblCellMar>
        </w:tblPrEx>
        <w:trPr>
          <w:jc w:val="center"/>
        </w:trPr>
        <w:tc>
          <w:tcPr>
            <w:tcW w:w="5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B865BA" w14:textId="77777777" w:rsidR="00CF451B" w:rsidRDefault="00CF451B">
            <w:pPr>
              <w:jc w:val="center"/>
            </w:pPr>
            <w:r>
              <w:rPr>
                <w:b/>
                <w:bCs/>
              </w:rPr>
              <w:t>8</w:t>
            </w:r>
          </w:p>
        </w:tc>
        <w:tc>
          <w:tcPr>
            <w:tcW w:w="19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236D1B" w14:textId="77777777" w:rsidR="00CF451B" w:rsidRDefault="00CF451B">
            <w:r>
              <w:rPr>
                <w:b/>
                <w:bCs/>
              </w:rPr>
              <w:t>PPCTI / PIR Signed Off</w:t>
            </w:r>
          </w:p>
        </w:tc>
        <w:tc>
          <w:tcPr>
            <w:tcW w:w="198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1D8B2A" w14:textId="77777777" w:rsidR="00CF451B" w:rsidRDefault="00CF451B">
            <w:r>
              <w:rPr>
                <w:i/>
                <w:iCs/>
              </w:rPr>
              <w:t>ppcti_signed</w:t>
            </w:r>
          </w:p>
        </w:tc>
        <w:tc>
          <w:tcPr>
            <w:tcW w:w="9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708261" w14:textId="77777777" w:rsidR="00CF451B" w:rsidRDefault="00CF451B">
            <w:pPr>
              <w:jc w:val="center"/>
            </w:pPr>
            <w:r>
              <w:t>0 / 119</w:t>
            </w:r>
          </w:p>
        </w:tc>
        <w:tc>
          <w:tcPr>
            <w:tcW w:w="12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469EF3" w14:textId="77777777" w:rsidR="00CF451B" w:rsidRDefault="00CF451B">
            <w:pPr>
              <w:jc w:val="center"/>
            </w:pPr>
            <w:r>
              <w:rPr>
                <w:b/>
                <w:bCs/>
              </w:rPr>
              <w:t>0%</w:t>
            </w:r>
          </w:p>
        </w:tc>
      </w:tr>
      <w:tr w:rsidR="00CF451B" w14:paraId="0536F99B" w14:textId="77777777" w:rsidTr="00CF451B">
        <w:tblPrEx>
          <w:tblCellMar>
            <w:top w:w="0" w:type="dxa"/>
            <w:bottom w:w="0" w:type="dxa"/>
          </w:tblCellMar>
        </w:tblPrEx>
        <w:trPr>
          <w:jc w:val="center"/>
        </w:trPr>
        <w:tc>
          <w:tcPr>
            <w:tcW w:w="563"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7935C20F" w14:textId="77777777" w:rsidR="00CF451B" w:rsidRDefault="00CF451B">
            <w:pPr>
              <w:jc w:val="center"/>
            </w:pPr>
            <w:r>
              <w:rPr>
                <w:b/>
                <w:bCs/>
              </w:rPr>
              <w:t>9</w:t>
            </w:r>
          </w:p>
        </w:tc>
        <w:tc>
          <w:tcPr>
            <w:tcW w:w="1911"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1E62A054" w14:textId="77777777" w:rsidR="00CF451B" w:rsidRDefault="00CF451B">
            <w:r>
              <w:rPr>
                <w:b/>
                <w:bCs/>
              </w:rPr>
              <w:t>BMR Authorised</w:t>
            </w:r>
          </w:p>
        </w:tc>
        <w:tc>
          <w:tcPr>
            <w:tcW w:w="1989"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48AD7920" w14:textId="77777777" w:rsidR="00CF451B" w:rsidRDefault="00CF451B">
            <w:r>
              <w:rPr>
                <w:i/>
                <w:iCs/>
              </w:rPr>
              <w:t>bmr_authorised</w:t>
            </w:r>
          </w:p>
        </w:tc>
        <w:tc>
          <w:tcPr>
            <w:tcW w:w="974"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420CACD2" w14:textId="77777777" w:rsidR="00CF451B" w:rsidRDefault="00CF451B">
            <w:pPr>
              <w:jc w:val="center"/>
            </w:pPr>
            <w:r>
              <w:t>3 / 119</w:t>
            </w:r>
          </w:p>
        </w:tc>
        <w:tc>
          <w:tcPr>
            <w:tcW w:w="1207"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7B4ED937" w14:textId="77777777" w:rsidR="00CF451B" w:rsidRDefault="00CF451B">
            <w:pPr>
              <w:jc w:val="center"/>
            </w:pPr>
            <w:r>
              <w:t>3%</w:t>
            </w:r>
          </w:p>
        </w:tc>
      </w:tr>
      <w:tr w:rsidR="00CF451B" w14:paraId="3639C927" w14:textId="77777777" w:rsidTr="00CF451B">
        <w:tblPrEx>
          <w:tblCellMar>
            <w:top w:w="0" w:type="dxa"/>
            <w:bottom w:w="0" w:type="dxa"/>
          </w:tblCellMar>
        </w:tblPrEx>
        <w:trPr>
          <w:jc w:val="center"/>
        </w:trPr>
        <w:tc>
          <w:tcPr>
            <w:tcW w:w="5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126841" w14:textId="77777777" w:rsidR="00CF451B" w:rsidRDefault="00CF451B">
            <w:pPr>
              <w:jc w:val="center"/>
            </w:pPr>
            <w:r>
              <w:rPr>
                <w:b/>
                <w:bCs/>
              </w:rPr>
              <w:t>10</w:t>
            </w:r>
          </w:p>
        </w:tc>
        <w:tc>
          <w:tcPr>
            <w:tcW w:w="19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366140" w14:textId="77777777" w:rsidR="00CF451B" w:rsidRDefault="00CF451B">
            <w:r>
              <w:rPr>
                <w:b/>
                <w:bCs/>
              </w:rPr>
              <w:t>Oncology Pharmacists Notified</w:t>
            </w:r>
          </w:p>
        </w:tc>
        <w:tc>
          <w:tcPr>
            <w:tcW w:w="198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3DB3B6" w14:textId="77777777" w:rsidR="00CF451B" w:rsidRDefault="00CF451B">
            <w:r>
              <w:rPr>
                <w:i/>
                <w:iCs/>
              </w:rPr>
              <w:t>onco_notified</w:t>
            </w:r>
          </w:p>
        </w:tc>
        <w:tc>
          <w:tcPr>
            <w:tcW w:w="9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241054" w14:textId="77777777" w:rsidR="00CF451B" w:rsidRDefault="00CF451B">
            <w:pPr>
              <w:jc w:val="center"/>
            </w:pPr>
            <w:r>
              <w:t>6 / 119</w:t>
            </w:r>
          </w:p>
        </w:tc>
        <w:tc>
          <w:tcPr>
            <w:tcW w:w="12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933DBC" w14:textId="77777777" w:rsidR="00CF451B" w:rsidRDefault="00CF451B">
            <w:pPr>
              <w:jc w:val="center"/>
            </w:pPr>
            <w:r>
              <w:t>5%</w:t>
            </w:r>
          </w:p>
        </w:tc>
      </w:tr>
      <w:tr w:rsidR="00CF451B" w14:paraId="3356D479" w14:textId="77777777" w:rsidTr="00CF451B">
        <w:tblPrEx>
          <w:tblCellMar>
            <w:top w:w="0" w:type="dxa"/>
            <w:bottom w:w="0" w:type="dxa"/>
          </w:tblCellMar>
        </w:tblPrEx>
        <w:trPr>
          <w:jc w:val="center"/>
        </w:trPr>
        <w:tc>
          <w:tcPr>
            <w:tcW w:w="563"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61E69E47" w14:textId="77777777" w:rsidR="00CF451B" w:rsidRDefault="00CF451B">
            <w:pPr>
              <w:jc w:val="center"/>
            </w:pPr>
            <w:r>
              <w:rPr>
                <w:b/>
                <w:bCs/>
              </w:rPr>
              <w:t>11</w:t>
            </w:r>
          </w:p>
        </w:tc>
        <w:tc>
          <w:tcPr>
            <w:tcW w:w="1911"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67530413" w14:textId="77777777" w:rsidR="00CF451B" w:rsidRDefault="00CF451B">
            <w:r>
              <w:rPr>
                <w:b/>
                <w:bCs/>
              </w:rPr>
              <w:t>Iqemo Template Set Up</w:t>
            </w:r>
          </w:p>
        </w:tc>
        <w:tc>
          <w:tcPr>
            <w:tcW w:w="1989"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76D03786" w14:textId="77777777" w:rsidR="00CF451B" w:rsidRDefault="00CF451B">
            <w:r>
              <w:rPr>
                <w:i/>
                <w:iCs/>
              </w:rPr>
              <w:t>iqemo_setup</w:t>
            </w:r>
          </w:p>
        </w:tc>
        <w:tc>
          <w:tcPr>
            <w:tcW w:w="974"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2CEEFBBA" w14:textId="77777777" w:rsidR="00CF451B" w:rsidRDefault="00CF451B">
            <w:pPr>
              <w:jc w:val="center"/>
            </w:pPr>
            <w:r>
              <w:t>0 / 119</w:t>
            </w:r>
          </w:p>
        </w:tc>
        <w:tc>
          <w:tcPr>
            <w:tcW w:w="1207"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673BE58F" w14:textId="77777777" w:rsidR="00CF451B" w:rsidRDefault="00CF451B">
            <w:pPr>
              <w:jc w:val="center"/>
            </w:pPr>
            <w:r>
              <w:rPr>
                <w:b/>
                <w:bCs/>
              </w:rPr>
              <w:t>0%</w:t>
            </w:r>
          </w:p>
        </w:tc>
      </w:tr>
      <w:tr w:rsidR="00CF451B" w14:paraId="7D148E08" w14:textId="77777777" w:rsidTr="00CF451B">
        <w:tblPrEx>
          <w:tblCellMar>
            <w:top w:w="0" w:type="dxa"/>
            <w:bottom w:w="0" w:type="dxa"/>
          </w:tblCellMar>
        </w:tblPrEx>
        <w:trPr>
          <w:jc w:val="center"/>
        </w:trPr>
        <w:tc>
          <w:tcPr>
            <w:tcW w:w="5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21E606" w14:textId="77777777" w:rsidR="00CF451B" w:rsidRDefault="00CF451B">
            <w:pPr>
              <w:jc w:val="center"/>
            </w:pPr>
            <w:r>
              <w:rPr>
                <w:b/>
                <w:bCs/>
              </w:rPr>
              <w:t>12</w:t>
            </w:r>
          </w:p>
        </w:tc>
        <w:tc>
          <w:tcPr>
            <w:tcW w:w="19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823346" w14:textId="77777777" w:rsidR="00CF451B" w:rsidRDefault="00CF451B">
            <w:r>
              <w:rPr>
                <w:b/>
                <w:bCs/>
              </w:rPr>
              <w:t>Iqemo Template Authorised</w:t>
            </w:r>
          </w:p>
        </w:tc>
        <w:tc>
          <w:tcPr>
            <w:tcW w:w="198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F5B5A8" w14:textId="77777777" w:rsidR="00CF451B" w:rsidRDefault="00CF451B">
            <w:r>
              <w:rPr>
                <w:i/>
                <w:iCs/>
              </w:rPr>
              <w:t>iqemo_authorised</w:t>
            </w:r>
          </w:p>
        </w:tc>
        <w:tc>
          <w:tcPr>
            <w:tcW w:w="9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46D4D6" w14:textId="77777777" w:rsidR="00CF451B" w:rsidRDefault="00CF451B">
            <w:pPr>
              <w:jc w:val="center"/>
            </w:pPr>
            <w:r>
              <w:t>42 / 119</w:t>
            </w:r>
          </w:p>
        </w:tc>
        <w:tc>
          <w:tcPr>
            <w:tcW w:w="12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5FD150" w14:textId="77777777" w:rsidR="00CF451B" w:rsidRDefault="00CF451B">
            <w:pPr>
              <w:jc w:val="center"/>
            </w:pPr>
            <w:r>
              <w:t>35%</w:t>
            </w:r>
          </w:p>
        </w:tc>
      </w:tr>
      <w:tr w:rsidR="00CF451B" w14:paraId="427F185D" w14:textId="77777777" w:rsidTr="00CF451B">
        <w:tblPrEx>
          <w:tblCellMar>
            <w:top w:w="0" w:type="dxa"/>
            <w:bottom w:w="0" w:type="dxa"/>
          </w:tblCellMar>
        </w:tblPrEx>
        <w:trPr>
          <w:jc w:val="center"/>
        </w:trPr>
        <w:tc>
          <w:tcPr>
            <w:tcW w:w="563"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1899BF98" w14:textId="77777777" w:rsidR="00CF451B" w:rsidRDefault="00CF451B">
            <w:pPr>
              <w:jc w:val="center"/>
            </w:pPr>
            <w:r>
              <w:rPr>
                <w:b/>
                <w:bCs/>
              </w:rPr>
              <w:t>13</w:t>
            </w:r>
          </w:p>
        </w:tc>
        <w:tc>
          <w:tcPr>
            <w:tcW w:w="1911"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5D57F944" w14:textId="77777777" w:rsidR="00CF451B" w:rsidRDefault="00CF451B">
            <w:r>
              <w:rPr>
                <w:b/>
                <w:bCs/>
              </w:rPr>
              <w:t>Pharmacy Greenlight</w:t>
            </w:r>
          </w:p>
        </w:tc>
        <w:tc>
          <w:tcPr>
            <w:tcW w:w="1989"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130297BF" w14:textId="77777777" w:rsidR="00CF451B" w:rsidRDefault="00CF451B">
            <w:r>
              <w:rPr>
                <w:i/>
                <w:iCs/>
              </w:rPr>
              <w:t>pharm_greenlight</w:t>
            </w:r>
          </w:p>
        </w:tc>
        <w:tc>
          <w:tcPr>
            <w:tcW w:w="974"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65843F65" w14:textId="77777777" w:rsidR="00CF451B" w:rsidRDefault="00CF451B">
            <w:pPr>
              <w:jc w:val="center"/>
            </w:pPr>
            <w:r>
              <w:t>27 / 119</w:t>
            </w:r>
          </w:p>
        </w:tc>
        <w:tc>
          <w:tcPr>
            <w:tcW w:w="1207"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1D80EAB2" w14:textId="77777777" w:rsidR="00CF451B" w:rsidRDefault="00CF451B">
            <w:pPr>
              <w:jc w:val="center"/>
            </w:pPr>
            <w:r>
              <w:t>23%</w:t>
            </w:r>
          </w:p>
        </w:tc>
      </w:tr>
      <w:tr w:rsidR="00CF451B" w14:paraId="6F3F4E48" w14:textId="77777777" w:rsidTr="00CF451B">
        <w:tblPrEx>
          <w:tblCellMar>
            <w:top w:w="0" w:type="dxa"/>
            <w:bottom w:w="0" w:type="dxa"/>
          </w:tblCellMar>
        </w:tblPrEx>
        <w:trPr>
          <w:jc w:val="center"/>
        </w:trPr>
        <w:tc>
          <w:tcPr>
            <w:tcW w:w="5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C7B6F8" w14:textId="77777777" w:rsidR="00CF451B" w:rsidRDefault="00CF451B">
            <w:pPr>
              <w:jc w:val="center"/>
            </w:pPr>
            <w:r>
              <w:rPr>
                <w:b/>
                <w:bCs/>
              </w:rPr>
              <w:lastRenderedPageBreak/>
              <w:t>14</w:t>
            </w:r>
          </w:p>
        </w:tc>
        <w:tc>
          <w:tcPr>
            <w:tcW w:w="19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C3338A" w14:textId="77777777" w:rsidR="00CF451B" w:rsidRDefault="00CF451B">
            <w:r>
              <w:rPr>
                <w:b/>
                <w:bCs/>
              </w:rPr>
              <w:t>Planned SIV Date</w:t>
            </w:r>
          </w:p>
        </w:tc>
        <w:tc>
          <w:tcPr>
            <w:tcW w:w="198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D211B" w14:textId="77777777" w:rsidR="00CF451B" w:rsidRDefault="00CF451B">
            <w:r>
              <w:rPr>
                <w:i/>
                <w:iCs/>
              </w:rPr>
              <w:t>siv_planned</w:t>
            </w:r>
          </w:p>
        </w:tc>
        <w:tc>
          <w:tcPr>
            <w:tcW w:w="9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0BD8D6" w14:textId="77777777" w:rsidR="00CF451B" w:rsidRDefault="00CF451B">
            <w:pPr>
              <w:jc w:val="center"/>
            </w:pPr>
            <w:r>
              <w:t>27 / 119</w:t>
            </w:r>
          </w:p>
        </w:tc>
        <w:tc>
          <w:tcPr>
            <w:tcW w:w="12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8A3CEC" w14:textId="77777777" w:rsidR="00CF451B" w:rsidRDefault="00CF451B">
            <w:pPr>
              <w:jc w:val="center"/>
            </w:pPr>
            <w:r>
              <w:t>23%</w:t>
            </w:r>
          </w:p>
        </w:tc>
      </w:tr>
      <w:tr w:rsidR="00CF451B" w14:paraId="0BB00856" w14:textId="77777777" w:rsidTr="00CF451B">
        <w:tblPrEx>
          <w:tblCellMar>
            <w:top w:w="0" w:type="dxa"/>
            <w:bottom w:w="0" w:type="dxa"/>
          </w:tblCellMar>
        </w:tblPrEx>
        <w:trPr>
          <w:jc w:val="center"/>
        </w:trPr>
        <w:tc>
          <w:tcPr>
            <w:tcW w:w="563"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6AAB03E0" w14:textId="77777777" w:rsidR="00CF451B" w:rsidRDefault="00CF451B">
            <w:pPr>
              <w:jc w:val="center"/>
            </w:pPr>
            <w:r>
              <w:rPr>
                <w:b/>
                <w:bCs/>
              </w:rPr>
              <w:t>15</w:t>
            </w:r>
          </w:p>
        </w:tc>
        <w:tc>
          <w:tcPr>
            <w:tcW w:w="1911"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3DC0904D" w14:textId="77777777" w:rsidR="00CF451B" w:rsidRDefault="00CF451B">
            <w:r>
              <w:rPr>
                <w:b/>
                <w:bCs/>
              </w:rPr>
              <w:t>SIV – Actual</w:t>
            </w:r>
          </w:p>
        </w:tc>
        <w:tc>
          <w:tcPr>
            <w:tcW w:w="1989"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1F6CB157" w14:textId="77777777" w:rsidR="00CF451B" w:rsidRDefault="00CF451B">
            <w:r>
              <w:rPr>
                <w:i/>
                <w:iCs/>
              </w:rPr>
              <w:t>siv_actual</w:t>
            </w:r>
          </w:p>
        </w:tc>
        <w:tc>
          <w:tcPr>
            <w:tcW w:w="974"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27DC2881" w14:textId="77777777" w:rsidR="00CF451B" w:rsidRDefault="00CF451B">
            <w:pPr>
              <w:jc w:val="center"/>
            </w:pPr>
            <w:r>
              <w:t>26 / 119</w:t>
            </w:r>
          </w:p>
        </w:tc>
        <w:tc>
          <w:tcPr>
            <w:tcW w:w="1207"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440AA4CB" w14:textId="77777777" w:rsidR="00CF451B" w:rsidRDefault="00CF451B">
            <w:pPr>
              <w:jc w:val="center"/>
            </w:pPr>
            <w:r>
              <w:t>22%</w:t>
            </w:r>
          </w:p>
        </w:tc>
      </w:tr>
      <w:tr w:rsidR="00CF451B" w14:paraId="3E5F64D0" w14:textId="77777777" w:rsidTr="00CF451B">
        <w:tblPrEx>
          <w:tblCellMar>
            <w:top w:w="0" w:type="dxa"/>
            <w:bottom w:w="0" w:type="dxa"/>
          </w:tblCellMar>
        </w:tblPrEx>
        <w:trPr>
          <w:jc w:val="center"/>
        </w:trPr>
        <w:tc>
          <w:tcPr>
            <w:tcW w:w="5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3C8CA7" w14:textId="77777777" w:rsidR="00CF451B" w:rsidRDefault="00CF451B">
            <w:pPr>
              <w:jc w:val="center"/>
            </w:pPr>
            <w:r>
              <w:rPr>
                <w:b/>
                <w:bCs/>
              </w:rPr>
              <w:t>16</w:t>
            </w:r>
          </w:p>
        </w:tc>
        <w:tc>
          <w:tcPr>
            <w:tcW w:w="19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ECD276" w14:textId="77777777" w:rsidR="00CF451B" w:rsidRDefault="00CF451B">
            <w:r>
              <w:rPr>
                <w:b/>
                <w:bCs/>
              </w:rPr>
              <w:t>C&amp;C Agreement Signed</w:t>
            </w:r>
          </w:p>
        </w:tc>
        <w:tc>
          <w:tcPr>
            <w:tcW w:w="198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52D303" w14:textId="77777777" w:rsidR="00CF451B" w:rsidRDefault="00CF451B">
            <w:r>
              <w:rPr>
                <w:i/>
                <w:iCs/>
              </w:rPr>
              <w:t>cc_date</w:t>
            </w:r>
          </w:p>
        </w:tc>
        <w:tc>
          <w:tcPr>
            <w:tcW w:w="9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75BAE8" w14:textId="77777777" w:rsidR="00CF451B" w:rsidRDefault="00CF451B">
            <w:pPr>
              <w:jc w:val="center"/>
            </w:pPr>
            <w:r>
              <w:t>28 / 119</w:t>
            </w:r>
          </w:p>
        </w:tc>
        <w:tc>
          <w:tcPr>
            <w:tcW w:w="12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90458C" w14:textId="77777777" w:rsidR="00CF451B" w:rsidRDefault="00CF451B">
            <w:pPr>
              <w:jc w:val="center"/>
            </w:pPr>
            <w:r>
              <w:t>24%</w:t>
            </w:r>
          </w:p>
        </w:tc>
      </w:tr>
      <w:tr w:rsidR="00CF451B" w14:paraId="43989194" w14:textId="77777777" w:rsidTr="00CF451B">
        <w:tblPrEx>
          <w:tblCellMar>
            <w:top w:w="0" w:type="dxa"/>
            <w:bottom w:w="0" w:type="dxa"/>
          </w:tblCellMar>
        </w:tblPrEx>
        <w:trPr>
          <w:jc w:val="center"/>
        </w:trPr>
        <w:tc>
          <w:tcPr>
            <w:tcW w:w="563"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6CAB6816" w14:textId="77777777" w:rsidR="00CF451B" w:rsidRDefault="00CF451B">
            <w:pPr>
              <w:jc w:val="center"/>
            </w:pPr>
            <w:r>
              <w:rPr>
                <w:b/>
                <w:bCs/>
              </w:rPr>
              <w:t>17</w:t>
            </w:r>
          </w:p>
        </w:tc>
        <w:tc>
          <w:tcPr>
            <w:tcW w:w="1911"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06C4FCBF" w14:textId="77777777" w:rsidR="00CF451B" w:rsidRDefault="00CF451B">
            <w:r>
              <w:rPr>
                <w:b/>
                <w:bCs/>
              </w:rPr>
              <w:t>Sponsor Green Light</w:t>
            </w:r>
          </w:p>
        </w:tc>
        <w:tc>
          <w:tcPr>
            <w:tcW w:w="1989"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4E20DC50" w14:textId="77777777" w:rsidR="00CF451B" w:rsidRDefault="00CF451B">
            <w:r>
              <w:rPr>
                <w:i/>
                <w:iCs/>
              </w:rPr>
              <w:t>greenlight_date</w:t>
            </w:r>
          </w:p>
        </w:tc>
        <w:tc>
          <w:tcPr>
            <w:tcW w:w="974"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5DB0DA5A" w14:textId="77777777" w:rsidR="00CF451B" w:rsidRDefault="00CF451B">
            <w:pPr>
              <w:jc w:val="center"/>
            </w:pPr>
            <w:r>
              <w:t>27 / 119</w:t>
            </w:r>
          </w:p>
        </w:tc>
        <w:tc>
          <w:tcPr>
            <w:tcW w:w="1207"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64B5A11C" w14:textId="77777777" w:rsidR="00CF451B" w:rsidRDefault="00CF451B">
            <w:pPr>
              <w:jc w:val="center"/>
            </w:pPr>
            <w:r>
              <w:t>23%</w:t>
            </w:r>
          </w:p>
        </w:tc>
      </w:tr>
      <w:tr w:rsidR="00CF451B" w14:paraId="5B145381" w14:textId="77777777" w:rsidTr="00CF451B">
        <w:tblPrEx>
          <w:tblCellMar>
            <w:top w:w="0" w:type="dxa"/>
            <w:bottom w:w="0" w:type="dxa"/>
          </w:tblCellMar>
        </w:tblPrEx>
        <w:trPr>
          <w:jc w:val="center"/>
        </w:trPr>
        <w:tc>
          <w:tcPr>
            <w:tcW w:w="5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15B0C8" w14:textId="77777777" w:rsidR="00CF451B" w:rsidRDefault="00CF451B">
            <w:pPr>
              <w:jc w:val="center"/>
            </w:pPr>
            <w:r>
              <w:rPr>
                <w:b/>
                <w:bCs/>
              </w:rPr>
              <w:t>20</w:t>
            </w:r>
          </w:p>
        </w:tc>
        <w:tc>
          <w:tcPr>
            <w:tcW w:w="19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2BD694" w14:textId="77777777" w:rsidR="00CF451B" w:rsidRDefault="00CF451B">
            <w:r>
              <w:rPr>
                <w:b/>
                <w:bCs/>
              </w:rPr>
              <w:t>Open to Recruitment</w:t>
            </w:r>
          </w:p>
        </w:tc>
        <w:tc>
          <w:tcPr>
            <w:tcW w:w="198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D3B126" w14:textId="77777777" w:rsidR="00CF451B" w:rsidRDefault="00CF451B">
            <w:r>
              <w:rPr>
                <w:i/>
                <w:iCs/>
              </w:rPr>
              <w:t>open_date</w:t>
            </w:r>
          </w:p>
        </w:tc>
        <w:tc>
          <w:tcPr>
            <w:tcW w:w="9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3FE049" w14:textId="77777777" w:rsidR="00CF451B" w:rsidRDefault="00CF451B">
            <w:pPr>
              <w:jc w:val="center"/>
            </w:pPr>
            <w:r>
              <w:t>75 / 119</w:t>
            </w:r>
          </w:p>
        </w:tc>
        <w:tc>
          <w:tcPr>
            <w:tcW w:w="12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8C366D" w14:textId="77777777" w:rsidR="00CF451B" w:rsidRDefault="00CF451B">
            <w:pPr>
              <w:jc w:val="center"/>
            </w:pPr>
            <w:r>
              <w:t>63%</w:t>
            </w:r>
          </w:p>
        </w:tc>
      </w:tr>
      <w:tr w:rsidR="00CF451B" w14:paraId="42E53C24" w14:textId="77777777" w:rsidTr="00CF451B">
        <w:tblPrEx>
          <w:tblCellMar>
            <w:top w:w="0" w:type="dxa"/>
            <w:bottom w:w="0" w:type="dxa"/>
          </w:tblCellMar>
        </w:tblPrEx>
        <w:trPr>
          <w:jc w:val="center"/>
        </w:trPr>
        <w:tc>
          <w:tcPr>
            <w:tcW w:w="563"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35D4600B" w14:textId="77777777" w:rsidR="00CF451B" w:rsidRDefault="00CF451B">
            <w:pPr>
              <w:jc w:val="center"/>
            </w:pPr>
            <w:r>
              <w:rPr>
                <w:b/>
                <w:bCs/>
              </w:rPr>
              <w:t>21</w:t>
            </w:r>
          </w:p>
        </w:tc>
        <w:tc>
          <w:tcPr>
            <w:tcW w:w="1911"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2F755A38" w14:textId="77777777" w:rsidR="00CF451B" w:rsidRDefault="00CF451B">
            <w:r>
              <w:rPr>
                <w:b/>
                <w:bCs/>
              </w:rPr>
              <w:t>First Patient Recruited</w:t>
            </w:r>
          </w:p>
        </w:tc>
        <w:tc>
          <w:tcPr>
            <w:tcW w:w="1989"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4412D01D" w14:textId="77777777" w:rsidR="00CF451B" w:rsidRDefault="00CF451B">
            <w:r>
              <w:rPr>
                <w:i/>
                <w:iCs/>
              </w:rPr>
              <w:t>first_patient</w:t>
            </w:r>
          </w:p>
        </w:tc>
        <w:tc>
          <w:tcPr>
            <w:tcW w:w="974"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20C6C41A" w14:textId="77777777" w:rsidR="00CF451B" w:rsidRDefault="00CF451B">
            <w:pPr>
              <w:jc w:val="center"/>
            </w:pPr>
            <w:r>
              <w:t>69 / 119</w:t>
            </w:r>
          </w:p>
        </w:tc>
        <w:tc>
          <w:tcPr>
            <w:tcW w:w="1207"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045DCB94" w14:textId="77777777" w:rsidR="00CF451B" w:rsidRDefault="00CF451B">
            <w:pPr>
              <w:jc w:val="center"/>
            </w:pPr>
            <w:r>
              <w:t>58%</w:t>
            </w:r>
          </w:p>
        </w:tc>
      </w:tr>
    </w:tbl>
    <w:p w14:paraId="6F40F88F" w14:textId="77777777" w:rsidR="00D06C96" w:rsidRDefault="00D06C96"/>
    <w:p w14:paraId="2A8C6ABB" w14:textId="77777777" w:rsidR="00D06C96" w:rsidRDefault="00000000">
      <w:pPr>
        <w:pStyle w:val="Heading1"/>
      </w:pPr>
      <w:r>
        <w:t>5. Key Implications for Analysis</w:t>
      </w:r>
    </w:p>
    <w:p w14:paraId="67E7473F" w14:textId="77777777" w:rsidR="00D06C96" w:rsidRDefault="00000000">
      <w:r>
        <w:rPr>
          <w:b/>
          <w:bCs/>
        </w:rPr>
        <w:t>78.6% of trials exceed the 60-day Stage 2 target.</w:t>
      </w:r>
      <w:r>
        <w:t xml:space="preserve"> The median observed Stage 2 duration is 133.5 days (n=70), more than double the target.</w:t>
      </w:r>
    </w:p>
    <w:p w14:paraId="2EA52862" w14:textId="77777777" w:rsidR="00D06C96" w:rsidRDefault="00D06C96"/>
    <w:p w14:paraId="110B120B" w14:textId="77777777" w:rsidR="00D06C96" w:rsidRDefault="00000000">
      <w:r>
        <w:rPr>
          <w:b/>
          <w:bCs/>
        </w:rPr>
        <w:t>The pharmacy track alone exceeds the target.</w:t>
      </w:r>
      <w:r>
        <w:t xml:space="preserve"> Median pharmacy track duration (notification to greenlight) is 104 days (n=19), already longer than the full 60-day window.</w:t>
      </w:r>
    </w:p>
    <w:p w14:paraId="70BFECAF" w14:textId="77777777" w:rsidR="00D06C96" w:rsidRDefault="00D06C96"/>
    <w:p w14:paraId="0DE7FABA" w14:textId="77777777" w:rsidR="00D06C96" w:rsidRDefault="00000000">
      <w:r>
        <w:rPr>
          <w:b/>
          <w:bCs/>
        </w:rPr>
        <w:t>A 163-day pre-track queue precedes pharmacy notification.</w:t>
      </w:r>
      <w:r>
        <w:t xml:space="preserve"> The median time between HRA approval (col 3) and pharmacy notification (col 6) is 163 days – a delay that occurs before the pharmacy clock starts and is not counted in any official target.</w:t>
      </w:r>
    </w:p>
    <w:p w14:paraId="178A5C82" w14:textId="77777777" w:rsidR="00D06C96" w:rsidRDefault="00D06C96"/>
    <w:p w14:paraId="320B9DC7" w14:textId="77777777" w:rsidR="00D06C96" w:rsidRDefault="00000000">
      <w:r>
        <w:rPr>
          <w:b/>
          <w:bCs/>
        </w:rPr>
        <w:t>Two thirds of the parallel process is unmeasured.</w:t>
      </w:r>
      <w:r>
        <w:t xml:space="preserve"> As shown in Appendix A, the Governance and Clinical tracks run simultaneously with the Pharmacy Track but have no CT Excel columns. Any discrete-event simulation (DES) model of Stage 2 must treat these tracks as unobserved.</w:t>
      </w:r>
    </w:p>
    <w:p w14:paraId="02B097C4" w14:textId="77777777" w:rsidR="00D06C96" w:rsidRDefault="00D06C96"/>
    <w:p w14:paraId="4BBADDB8" w14:textId="77777777" w:rsidR="00D06C96" w:rsidRDefault="00000000">
      <w:r>
        <w:rPr>
          <w:b/>
          <w:bCs/>
        </w:rPr>
        <w:t>Internal pharmacy milestones are severely under-documented.</w:t>
      </w:r>
      <w:r>
        <w:t xml:space="preserve"> Columns 8 (PPCTI sign-off) and 11 (Iqemo template set-up) have 0% completeness. Retrospective recovery from Iqemo and QPulse may be possible for a subset of trials.</w:t>
      </w:r>
    </w:p>
    <w:p w14:paraId="40EF2697" w14:textId="77777777" w:rsidR="00D06C96" w:rsidRDefault="00D06C96">
      <w:pPr>
        <w:sectPr w:rsidR="00D06C96">
          <w:pgSz w:w="11906" w:h="16838"/>
          <w:pgMar w:top="1440" w:right="1440" w:bottom="1440" w:left="1440" w:header="708" w:footer="708" w:gutter="0"/>
          <w:cols w:space="720"/>
          <w:docGrid w:linePitch="360"/>
        </w:sectPr>
      </w:pPr>
    </w:p>
    <w:p w14:paraId="31A84A45" w14:textId="77777777" w:rsidR="00D06C96" w:rsidRDefault="00000000">
      <w:pPr>
        <w:pStyle w:val="Heading1"/>
      </w:pPr>
      <w:r>
        <w:lastRenderedPageBreak/>
        <w:t>Appendix A: LTHTR Stage 2 Process Flowchart with CT Excel Column Mapping</w:t>
      </w:r>
    </w:p>
    <w:p w14:paraId="5335BA56" w14:textId="2BEF9DC1" w:rsidR="00D06C96" w:rsidRDefault="00000000">
      <w:r>
        <w:t>This flowchart maps every step of the Stage 2 site activation process across the three parallel internal tracks (Pharmacy, Governance/R&amp;D, and Clinical &amp; Ancillary). Each node shows the corresponding CT Excel column number and data completeness percentage where a column exists. Nodes without a CT Excel column are marked accordingly.</w:t>
      </w:r>
    </w:p>
    <w:p w14:paraId="0A68F0C5" w14:textId="77777777" w:rsidR="00D06C96" w:rsidRDefault="00D06C96"/>
    <w:p w14:paraId="76E976D3" w14:textId="77777777" w:rsidR="00D06C96" w:rsidRDefault="00000000">
      <w:pPr>
        <w:jc w:val="center"/>
      </w:pPr>
      <w:r>
        <w:rPr>
          <w:noProof/>
        </w:rPr>
        <w:drawing>
          <wp:inline distT="0" distB="0" distL="0" distR="0" wp14:anchorId="758084DE" wp14:editId="66C6C6FE">
            <wp:extent cx="9567617" cy="5084956"/>
            <wp:effectExtent l="0" t="0" r="0" b="0"/>
            <wp:docPr id="1" name="Stage2Flowchart" descr="LTHTR Stage 2 process flowchart with CT Excel column mapping" title="Stage 2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9620246" cy="5112927"/>
                    </a:xfrm>
                    <a:prstGeom prst="rect">
                      <a:avLst/>
                    </a:prstGeom>
                  </pic:spPr>
                </pic:pic>
              </a:graphicData>
            </a:graphic>
          </wp:inline>
        </w:drawing>
      </w:r>
    </w:p>
    <w:sectPr w:rsidR="00D06C96">
      <w:pgSz w:w="16838" w:h="11906" w:orient="landscape"/>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BAE3A36"/>
    <w:multiLevelType w:val="hybridMultilevel"/>
    <w:tmpl w:val="B59A58F8"/>
    <w:lvl w:ilvl="0" w:tplc="9162CC2A">
      <w:start w:val="1"/>
      <w:numFmt w:val="bullet"/>
      <w:lvlText w:val="●"/>
      <w:lvlJc w:val="left"/>
      <w:pPr>
        <w:ind w:left="720" w:hanging="360"/>
      </w:pPr>
    </w:lvl>
    <w:lvl w:ilvl="1" w:tplc="F64E9DEA">
      <w:start w:val="1"/>
      <w:numFmt w:val="bullet"/>
      <w:lvlText w:val="○"/>
      <w:lvlJc w:val="left"/>
      <w:pPr>
        <w:ind w:left="1440" w:hanging="360"/>
      </w:pPr>
    </w:lvl>
    <w:lvl w:ilvl="2" w:tplc="9E3A9C4C">
      <w:start w:val="1"/>
      <w:numFmt w:val="bullet"/>
      <w:lvlText w:val="■"/>
      <w:lvlJc w:val="left"/>
      <w:pPr>
        <w:ind w:left="2160" w:hanging="360"/>
      </w:pPr>
    </w:lvl>
    <w:lvl w:ilvl="3" w:tplc="9A88D252">
      <w:start w:val="1"/>
      <w:numFmt w:val="bullet"/>
      <w:lvlText w:val="●"/>
      <w:lvlJc w:val="left"/>
      <w:pPr>
        <w:ind w:left="2880" w:hanging="360"/>
      </w:pPr>
    </w:lvl>
    <w:lvl w:ilvl="4" w:tplc="1DCC6A10">
      <w:start w:val="1"/>
      <w:numFmt w:val="bullet"/>
      <w:lvlText w:val="○"/>
      <w:lvlJc w:val="left"/>
      <w:pPr>
        <w:ind w:left="3600" w:hanging="360"/>
      </w:pPr>
    </w:lvl>
    <w:lvl w:ilvl="5" w:tplc="6032FC42">
      <w:start w:val="1"/>
      <w:numFmt w:val="bullet"/>
      <w:lvlText w:val="■"/>
      <w:lvlJc w:val="left"/>
      <w:pPr>
        <w:ind w:left="4320" w:hanging="360"/>
      </w:pPr>
    </w:lvl>
    <w:lvl w:ilvl="6" w:tplc="26E697C0">
      <w:start w:val="1"/>
      <w:numFmt w:val="bullet"/>
      <w:lvlText w:val="●"/>
      <w:lvlJc w:val="left"/>
      <w:pPr>
        <w:ind w:left="5040" w:hanging="360"/>
      </w:pPr>
    </w:lvl>
    <w:lvl w:ilvl="7" w:tplc="4D52DA36">
      <w:start w:val="1"/>
      <w:numFmt w:val="bullet"/>
      <w:lvlText w:val="●"/>
      <w:lvlJc w:val="left"/>
      <w:pPr>
        <w:ind w:left="5760" w:hanging="360"/>
      </w:pPr>
    </w:lvl>
    <w:lvl w:ilvl="8" w:tplc="D0B2B17A">
      <w:start w:val="1"/>
      <w:numFmt w:val="bullet"/>
      <w:lvlText w:val="●"/>
      <w:lvlJc w:val="left"/>
      <w:pPr>
        <w:ind w:left="6480" w:hanging="360"/>
      </w:pPr>
    </w:lvl>
  </w:abstractNum>
  <w:abstractNum w:abstractNumId="1" w15:restartNumberingAfterBreak="0">
    <w:nsid w:val="73B363E5"/>
    <w:multiLevelType w:val="hybridMultilevel"/>
    <w:tmpl w:val="05B657BA"/>
    <w:lvl w:ilvl="0" w:tplc="CF1295A2">
      <w:start w:val="1"/>
      <w:numFmt w:val="bullet"/>
      <w:lvlText w:val="•"/>
      <w:lvlJc w:val="left"/>
      <w:pPr>
        <w:ind w:left="720" w:hanging="360"/>
      </w:pPr>
    </w:lvl>
    <w:lvl w:ilvl="1" w:tplc="06566206">
      <w:numFmt w:val="decimal"/>
      <w:lvlText w:val=""/>
      <w:lvlJc w:val="left"/>
    </w:lvl>
    <w:lvl w:ilvl="2" w:tplc="0BC27AAA">
      <w:numFmt w:val="decimal"/>
      <w:lvlText w:val=""/>
      <w:lvlJc w:val="left"/>
    </w:lvl>
    <w:lvl w:ilvl="3" w:tplc="66A40C68">
      <w:numFmt w:val="decimal"/>
      <w:lvlText w:val=""/>
      <w:lvlJc w:val="left"/>
    </w:lvl>
    <w:lvl w:ilvl="4" w:tplc="681A20FA">
      <w:numFmt w:val="decimal"/>
      <w:lvlText w:val=""/>
      <w:lvlJc w:val="left"/>
    </w:lvl>
    <w:lvl w:ilvl="5" w:tplc="9D6CDBB4">
      <w:numFmt w:val="decimal"/>
      <w:lvlText w:val=""/>
      <w:lvlJc w:val="left"/>
    </w:lvl>
    <w:lvl w:ilvl="6" w:tplc="447E2CEA">
      <w:numFmt w:val="decimal"/>
      <w:lvlText w:val=""/>
      <w:lvlJc w:val="left"/>
    </w:lvl>
    <w:lvl w:ilvl="7" w:tplc="9BFA70FA">
      <w:numFmt w:val="decimal"/>
      <w:lvlText w:val=""/>
      <w:lvlJc w:val="left"/>
    </w:lvl>
    <w:lvl w:ilvl="8" w:tplc="A2922778">
      <w:numFmt w:val="decimal"/>
      <w:lvlText w:val=""/>
      <w:lvlJc w:val="left"/>
    </w:lvl>
  </w:abstractNum>
  <w:num w:numId="1" w16cid:durableId="71969315">
    <w:abstractNumId w:val="0"/>
    <w:lvlOverride w:ilvl="0">
      <w:startOverride w:val="1"/>
    </w:lvlOverride>
  </w:num>
  <w:num w:numId="2" w16cid:durableId="1683705498">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1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6C96"/>
    <w:rsid w:val="00CF451B"/>
    <w:rsid w:val="00D06C96"/>
    <w:rsid w:val="00EF259E"/>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decimalSymbol w:val="."/>
  <w:listSeparator w:val=","/>
  <w14:docId w14:val="3EE4A6F1"/>
  <w15:docId w15:val="{0985B054-CF95-8B4A-9747-32BB3F6DD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TH"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uiPriority w:val="9"/>
    <w:qFormat/>
    <w:pPr>
      <w:spacing w:before="320" w:after="160"/>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sz w:val="26"/>
      <w:szCs w:val="26"/>
    </w:rPr>
  </w:style>
  <w:style w:type="paragraph" w:styleId="Heading3">
    <w:name w:val="heading 3"/>
    <w:uiPriority w:val="9"/>
    <w:semiHidden/>
    <w:unhideWhenUsed/>
    <w:qFormat/>
    <w:pPr>
      <w:spacing w:before="18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2303</Words>
  <Characters>13129</Characters>
  <Application>Microsoft Office Word</Application>
  <DocSecurity>0</DocSecurity>
  <Lines>109</Lines>
  <Paragraphs>30</Paragraphs>
  <ScaleCrop>false</ScaleCrop>
  <Company/>
  <LinksUpToDate>false</LinksUpToDate>
  <CharactersWithSpaces>15402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Kachanon Lertdamrongwong</cp:lastModifiedBy>
  <cp:revision>2</cp:revision>
  <dcterms:created xsi:type="dcterms:W3CDTF">2026-07-01T09:14:00Z</dcterms:created>
  <dcterms:modified xsi:type="dcterms:W3CDTF">2026-07-01T09:20:00Z</dcterms:modified>
</cp:coreProperties>
</file>