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KONA</w:t>
      </w:r>
    </w:p>
    <w:p>
      <w:pPr>
        <w:jc w:val="center"/>
      </w:pPr>
      <w:r>
        <w:rPr>
          <w:b/>
          <w:sz w:val="56"/>
        </w:rPr>
        <w:t>Calculation Engine Specification v0.1</w:t>
      </w:r>
    </w:p>
    <w:p>
      <w:pPr>
        <w:jc w:val="center"/>
      </w:pPr>
      <w:r>
        <w:rPr>
          <w:i/>
          <w:sz w:val="24"/>
        </w:rPr>
        <w:t>Deterministic fueling + hydration logic for an AI training companion</w:t>
      </w:r>
    </w:p>
    <w:p>
      <w:pPr>
        <w:jc w:val="center"/>
      </w:pPr>
      <w:r>
        <w:rPr>
          <w:b/>
        </w:rPr>
        <w:t>Status: MVP implementation baseline — expert review required before public launch</w:t>
      </w:r>
    </w:p>
    <w:p>
      <w:pPr>
        <w:pStyle w:val="Heading1"/>
      </w:pPr>
      <w:r>
        <w:t>1. Product principle</w:t>
      </w:r>
    </w:p>
    <w:p>
      <w:r>
        <w:t>Kona answers a practical question: “Given what I am doing, what should I prepare, what should I do during/after, and what should I learn for next time?”</w:t>
      </w:r>
    </w:p>
    <w:p>
      <w:r>
        <w:t>Kona must not present one exact physiological requirement as if it were medically precise. The engine produces estimated ranges, priorities, confidence, methodology version, and explanatory factors. The LLM turns those structured results into natural conversation.</w:t>
      </w:r>
    </w:p>
    <w:p>
      <w:pPr>
        <w:pStyle w:val="Heading1"/>
      </w:pPr>
      <w:r>
        <w:t>2. Evidence posture</w:t>
      </w:r>
    </w:p>
    <w:p>
      <w:r>
        <w:t>The MVP methodology is deliberately conservative. Sweat rate and sweat sodium vary substantially between people and across conditions, so Kona should prefer individualized field data when available rather than pretending that one universal number fits everyone. ACSM and NATA both emphasize individualized fluid strategies and sweat-rate assessment; ACSM also uses avoidance of excessive (&gt;2%) body-mass loss as a practical anchor for exercise hydration. (ACSM, 2007; NATA, 2017)</w:t>
      </w:r>
    </w:p>
    <w:p>
      <w:r>
        <w:t>For prolonged exercise, established guidance commonly uses roughly 30–60 g carbohydrate/hour, with higher intake such as 60–90 g/hour reserved for sufficiently long endurance work and appropriate individual tolerance rather than made the default. (ACSM; ISSN, 2017; Jeukendrup, 2014)</w:t>
      </w:r>
    </w:p>
    <w:p>
      <w:r>
        <w:t>Protein is treated mainly as a daily recovery target. A commonly cited range for healthy exercising adults is approximately 1.4–2.0 g/kg/day, while a practical single-serving reference is around 20–40 g or about 0.25 g/kg depending on context. (ISSN, 2017)</w:t>
      </w:r>
    </w:p>
    <w:p>
      <w:r>
        <w:t>Exercise-associated muscle cramps are treated as multifactorial. Kona must never claim that a cramp was caused by low sodium or dehydration from a single event. Evidence-based reviews emphasize individualized risk factors and that generalized “drink more” advice is not sufficient. (Miller et al., 2022; Schwellnus, 2016)</w:t>
      </w:r>
    </w:p>
    <w:p>
      <w:pPr>
        <w:pStyle w:val="Heading1"/>
      </w:pPr>
      <w:r>
        <w:t>3. Input model</w:t>
      </w:r>
    </w:p>
    <w:p>
      <w:pPr>
        <w:pStyle w:val="Heading2"/>
      </w:pPr>
      <w:r>
        <w:t>User profile</w:t>
      </w:r>
    </w:p>
    <w:p>
      <w:pPr>
        <w:pStyle w:val="ListBullet"/>
      </w:pPr>
      <w:r>
        <w:t>Required: body weight (kg).</w:t>
      </w:r>
    </w:p>
    <w:p>
      <w:pPr>
        <w:pStyle w:val="ListBullet"/>
      </w:pPr>
      <w:r>
        <w:t>Optional: usual sports, usual bottle volume, weekly training frequency, measured sweat rate, measured sweat sodium concentration, preferred foods/products, known product labels.</w:t>
      </w:r>
    </w:p>
    <w:p>
      <w:pPr>
        <w:pStyle w:val="Heading2"/>
      </w:pPr>
      <w:r>
        <w:t>Session</w:t>
      </w:r>
    </w:p>
    <w:p>
      <w:pPr>
        <w:pStyle w:val="ListBullet"/>
      </w:pPr>
      <w:r>
        <w:t>Sport, date/time, duration, distance (optional), intensity (easy/moderate/hard/race), pre-fed state (fed/fasted/unknown), sequence index, and linked session-group for multi-session days.</w:t>
      </w:r>
    </w:p>
    <w:p>
      <w:pPr>
        <w:pStyle w:val="Heading2"/>
      </w:pPr>
      <w:r>
        <w:t>Environment</w:t>
      </w:r>
    </w:p>
    <w:p>
      <w:pPr>
        <w:pStyle w:val="ListBullet"/>
      </w:pPr>
      <w:r>
        <w:t>Temperature, humidity, indoor/outdoor, sun exposure (optional), heat acclimatization (unknown/partial/acclimatized).</w:t>
      </w:r>
    </w:p>
    <w:p>
      <w:pPr>
        <w:pStyle w:val="ListBullet"/>
      </w:pPr>
      <w:r>
        <w:t>Missing environmental data reduces confidence; it should not force a guessed value.</w:t>
      </w:r>
    </w:p>
    <w:p>
      <w:pPr>
        <w:pStyle w:val="Heading2"/>
      </w:pPr>
      <w:r>
        <w:t>Actual intake</w:t>
      </w:r>
    </w:p>
    <w:p>
      <w:pPr>
        <w:pStyle w:val="ListBullet"/>
      </w:pPr>
      <w:r>
        <w:t>Exact known values: fluid, sodium, carbohydrate, protein.</w:t>
      </w:r>
    </w:p>
    <w:p>
      <w:pPr>
        <w:pStyle w:val="ListBullet"/>
      </w:pPr>
      <w:r>
        <w:t>Estimated values: minimum/maximum ranges for meals and ambiguous portions.</w:t>
      </w:r>
    </w:p>
    <w:p>
      <w:pPr>
        <w:pStyle w:val="Heading1"/>
      </w:pPr>
      <w:r>
        <w:t>4. Session classification</w:t>
      </w:r>
    </w:p>
    <w:p>
      <w:r>
        <w:t>These are product buckets, not physiological boundaries. Keep the thresholds configurable in the rules table.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Class</w:t>
            </w:r>
          </w:p>
        </w:tc>
        <w:tc>
          <w:tcPr>
            <w:tcW w:type="dxa" w:w="5040"/>
            <w:vAlign w:val="center"/>
          </w:tcPr>
          <w:p>
            <w:r>
              <w:rPr>
                <w:b/>
              </w:rPr>
              <w:t>MVP bucket</w:t>
            </w:r>
          </w:p>
        </w:tc>
      </w:tr>
      <w:tr>
        <w:tc>
          <w:tcPr>
            <w:tcW w:type="dxa" w:w="5040"/>
            <w:vAlign w:val="center"/>
          </w:tcPr>
          <w:p>
            <w:r>
              <w:t>SHORT</w:t>
            </w:r>
          </w:p>
        </w:tc>
        <w:tc>
          <w:tcPr>
            <w:tcW w:type="dxa" w:w="5040"/>
            <w:vAlign w:val="center"/>
          </w:tcPr>
          <w:p>
            <w:r>
              <w:t>&lt; 60 min</w:t>
            </w:r>
          </w:p>
        </w:tc>
      </w:tr>
      <w:tr>
        <w:tc>
          <w:tcPr>
            <w:tcW w:type="dxa" w:w="5040"/>
            <w:vAlign w:val="center"/>
          </w:tcPr>
          <w:p>
            <w:r>
              <w:t>MODERATE</w:t>
            </w:r>
          </w:p>
        </w:tc>
        <w:tc>
          <w:tcPr>
            <w:tcW w:type="dxa" w:w="5040"/>
            <w:vAlign w:val="center"/>
          </w:tcPr>
          <w:p>
            <w:r>
              <w:t>60–90 min</w:t>
            </w:r>
          </w:p>
        </w:tc>
      </w:tr>
      <w:tr>
        <w:tc>
          <w:tcPr>
            <w:tcW w:type="dxa" w:w="5040"/>
            <w:vAlign w:val="center"/>
          </w:tcPr>
          <w:p>
            <w:r>
              <w:t>LONG</w:t>
            </w:r>
          </w:p>
        </w:tc>
        <w:tc>
          <w:tcPr>
            <w:tcW w:type="dxa" w:w="5040"/>
            <w:vAlign w:val="center"/>
          </w:tcPr>
          <w:p>
            <w:r>
              <w:t>&gt; 90–150 min</w:t>
            </w:r>
          </w:p>
        </w:tc>
      </w:tr>
      <w:tr>
        <w:tc>
          <w:tcPr>
            <w:tcW w:type="dxa" w:w="5040"/>
            <w:vAlign w:val="center"/>
          </w:tcPr>
          <w:p>
            <w:r>
              <w:t>VERY LONG</w:t>
            </w:r>
          </w:p>
        </w:tc>
        <w:tc>
          <w:tcPr>
            <w:tcW w:type="dxa" w:w="5040"/>
            <w:vAlign w:val="center"/>
          </w:tcPr>
          <w:p>
            <w:r>
              <w:t>&gt; 150 min</w:t>
            </w:r>
          </w:p>
        </w:tc>
      </w:tr>
    </w:tbl>
    <w:p>
      <w:r>
        <w:t>Intensity is easy / moderate / hard / race. Environment is cool-or-normal / warm / hot-humid / unknown. The engine also assigns 0–3 priorities for hydration, carbohydrate, sodium, recovery, and preparation.</w:t>
      </w:r>
    </w:p>
    <w:p>
      <w:pPr>
        <w:pStyle w:val="Heading1"/>
      </w:pPr>
      <w:r>
        <w:t>5. Hydration engine</w:t>
      </w:r>
    </w:p>
    <w:p>
      <w:pPr>
        <w:pStyle w:val="Heading2"/>
      </w:pPr>
      <w:r>
        <w:t>5.1 Preferred: measured sweat rate</w:t>
      </w:r>
    </w:p>
    <w:p>
      <w:r>
        <w:t>When the user has a trustworthy sweat-rate measurement from reasonably similar conditions, use it as the personal starting point. ACSM explicitly recommends estimating individual sweat rate by comparing body mass before and after exercise and notes substantial individual variation in sweating. (ACSM, 2007; Baker, 2017)</w:t>
      </w:r>
    </w:p>
    <w:p>
      <w:pPr>
        <w:ind w:left="360"/>
      </w:pPr>
      <w:r>
        <w:rPr>
          <w:rFonts w:ascii="Courier New" w:hAnsi="Courier New"/>
          <w:sz w:val="18"/>
        </w:rPr>
        <w:t>Sweat rate (L/h) = (pre-weight_kg - post-weight_kg + fluid_intake_L - urine_output_L) / duration_h</w:t>
      </w:r>
    </w:p>
    <w:p>
      <w:r>
        <w:t>Context-adjust the interpretation for temperature, humidity, intensity, duration, and acclimatization. Do not treat the result as a fixed prescription.</w:t>
      </w:r>
    </w:p>
    <w:p>
      <w:pPr>
        <w:pStyle w:val="Heading2"/>
      </w:pPr>
      <w:r>
        <w:t>5.2 Fallback: no sweat-rate data</w:t>
      </w:r>
    </w:p>
    <w:p>
      <w:r>
        <w:t>When sweat rate is unknown, Kona should avoid pretending to know the user’s personal loss rate. For deliberate planning during prolonged exercise, the MVP can expose a broad reference range of approximately 0.4–0.8 L/h as a starting point, while clearly labelling it as a planning reference rather than a personal requirement. Historical ACSM guidance uses a roughly 0.4–0.8 L/h range, while later consensus emphasizes tailoring intake to the individual and avoiding overdrinking. (ACSM; NATA, 2017)</w:t>
      </w:r>
    </w:p>
    <w:p>
      <w:pPr>
        <w:pStyle w:val="Heading2"/>
      </w:pPr>
      <w:r>
        <w:t>5.3 Safety</w:t>
      </w:r>
    </w:p>
    <w:p>
      <w:r>
        <w:t>Kona must never recommend drinking so aggressively that the user would be expected to gain body mass during exercise. If actual intake suggests weight gain or likely overdrinking, flag that more fluid is not automatically better. (Kenefick, 2018)</w:t>
      </w:r>
    </w:p>
    <w:p>
      <w:pPr>
        <w:pStyle w:val="Heading2"/>
      </w:pPr>
      <w:r>
        <w:t>5.4 Post-workout</w:t>
      </w:r>
    </w:p>
    <w:p>
      <w:r>
        <w:t>If body-mass loss is known and rapid recovery is required, the engine may calculate a recovery fluid target using the measured deficit. Research commonly uses ~150% of measured loss in aggressive rehydration studies, particularly with sodium-containing fluid; this is an aggressive recovery scenario, not a default instruction. (Mitchell et al., 2000; Shirreffs &amp; Maughan, 1998)</w:t>
      </w:r>
    </w:p>
    <w:p>
      <w:pPr>
        <w:pStyle w:val="Heading1"/>
      </w:pPr>
      <w:r>
        <w:t>6. Sodium / electrolyte engine</w:t>
      </w:r>
    </w:p>
    <w:p>
      <w:pPr>
        <w:pStyle w:val="Heading2"/>
      </w:pPr>
      <w:r>
        <w:t>6.1 Core rule</w:t>
      </w:r>
    </w:p>
    <w:p>
      <w:r>
        <w:t>Do not make a sodium target mandatory for every workout. Sodium priority increases with prolonged exercise, substantial sweating, hot/humid conditions, high planned fluid replacement, known high sweat sodium, repeated sessions with short recovery, or a repeated user-specific pattern.</w:t>
      </w:r>
    </w:p>
    <w:p>
      <w:pPr>
        <w:pStyle w:val="Heading2"/>
      </w:pPr>
      <w:r>
        <w:t>6.2 Known sweat sodium</w:t>
      </w:r>
    </w:p>
    <w:p>
      <w:pPr>
        <w:ind w:left="360"/>
      </w:pPr>
      <w:r>
        <w:rPr>
          <w:rFonts w:ascii="Courier New" w:hAnsi="Courier New"/>
          <w:sz w:val="18"/>
        </w:rPr>
        <w:t>Estimated sodium loss (mg/h) = sweat_rate_L_per_h × sweat_sodium_mg_per_L</w:t>
      </w:r>
    </w:p>
    <w:p>
      <w:r>
        <w:t>This is an estimated loss, not a 1:1 target. Evidence and modelling suggest sodium needs during exercise depend on the interaction of fluid replacement and sweat sodium concentration; targeted replacement becomes most relevant in particular long-duration scenarios rather than every ordinary workout. (McCubbin et al., 2022)</w:t>
      </w:r>
    </w:p>
    <w:p>
      <w:pPr>
        <w:pStyle w:val="Heading2"/>
      </w:pPr>
      <w:r>
        <w:t>6.3 Unknown sweat sodium</w:t>
      </w:r>
    </w:p>
    <w:p>
      <w:r>
        <w:t>When sweat sodium is unknown, Kona should not manufacture an exact personal sodium-loss number. Where a sodium-containing drink is relevant, the MVP may use a reference concentration of approximately 500–700 mg sodium per litre of fluid, reflecting historical ACSM guidance, while explicitly labeling it as a reference concentration rather than a personal requirement. (ACSM, 1996)</w:t>
      </w:r>
    </w:p>
    <w:p>
      <w:pPr>
        <w:pStyle w:val="Heading2"/>
      </w:pPr>
      <w:r>
        <w:t>6.4 Cramp rule</w:t>
      </w:r>
    </w:p>
    <w:p>
      <w:r>
        <w:t>Never say “you cramped because you were low in sodium.” Capture location, severity, duration, training context, fatigue/load, hydration and sodium intake when known. Over time, Kona may report cautious associations but not causal diagnoses. (Miller et al., 2022; Schwellnus et al., 2019)</w:t>
      </w:r>
    </w:p>
    <w:p>
      <w:pPr>
        <w:pStyle w:val="Heading1"/>
      </w:pPr>
      <w:r>
        <w:t>7. Carbohydrate engine</w:t>
      </w:r>
    </w:p>
    <w:p>
      <w:r>
        <w:t>For sessions under ~60 minutes, especially easy/moderate sessions, no mandatory during-session carbohydrate target. For prolonged or harder endurance exercise, use 30–60 g/h as the default evidence-based reference. Higher 60–90 g/h strategies can be surfaced only for sufficiently long endurance sessions when user tolerance and gut training make them appropriate; do not default to 90 g/h and do not surface &gt;90 g/h in MVP. (ACSM; ISSN, 2017; Jeukendrup, 2014)</w:t>
      </w:r>
    </w:p>
    <w:p>
      <w:pPr>
        <w:pStyle w:val="Heading1"/>
      </w:pPr>
      <w:r>
        <w:t>8. Protein / recovery engine</w:t>
      </w:r>
    </w:p>
    <w:p>
      <w:r>
        <w:t>Treat protein primarily as a daily recovery metric, not a during-workout requirement.</w:t>
      </w:r>
    </w:p>
    <w:p>
      <w:pPr>
        <w:ind w:left="360"/>
      </w:pPr>
      <w:r>
        <w:rPr>
          <w:rFonts w:ascii="Courier New" w:hAnsi="Courier New"/>
          <w:sz w:val="18"/>
        </w:rPr>
        <w:t>Daily reference range = body_weight_kg × 1.4–2.0 g/kg/day</w:t>
      </w:r>
    </w:p>
    <w:p>
      <w:r>
        <w:t>For practical post-workout guidance, a reference serving can be 20–40 g or roughly 0.25 g/kg, depending on context. Use higher recovery priority for resistance training, high-volume days and repeated sessions. (ISSN, 2017)</w:t>
      </w:r>
    </w:p>
    <w:p>
      <w:pPr>
        <w:pStyle w:val="Heading1"/>
      </w:pPr>
      <w:r>
        <w:t>9. Preparation logic</w:t>
      </w:r>
    </w:p>
    <w:p>
      <w:pPr>
        <w:pStyle w:val="ListBullet"/>
      </w:pPr>
      <w:r>
        <w:t>Long session tomorrow → normal hydration across the day, prepare fluids, prepare carb source if appropriate, and have a recovery meal available.</w:t>
      </w:r>
    </w:p>
    <w:p>
      <w:pPr>
        <w:pStyle w:val="ListBullet"/>
      </w:pPr>
      <w:r>
        <w:t>Double session tomorrow → prioritize logistics: fluids available, convenient carbohydrate source, food between/after sessions, and a recovery option ready for the second session.</w:t>
      </w:r>
    </w:p>
    <w:p>
      <w:pPr>
        <w:pStyle w:val="ListBullet"/>
      </w:pPr>
      <w:r>
        <w:t>Early-morning long session → prepare bottles/food the night before and decide the pre-workout and recovery setup in advance.</w:t>
      </w:r>
    </w:p>
    <w:p>
      <w:pPr>
        <w:pStyle w:val="ListBullet"/>
      </w:pPr>
      <w:r>
        <w:t>Known difficult conditions → use the user’s history from similar sessions without claiming a single cause.</w:t>
      </w:r>
    </w:p>
    <w:p>
      <w:pPr>
        <w:pStyle w:val="Heading1"/>
      </w:pPr>
      <w:r>
        <w:t>10. Actual vs planned</w:t>
      </w:r>
    </w:p>
    <w:p>
      <w:r>
        <w:t>This is core to Kona. Store planned and actual sessions separately. If the plan was 18 km and the actual session was 10 km because the left hip hurt, retain both values. Post-workout calculations use the actual 10 km session. Do not encourage compensatory training when pain/injury caused the change.</w:t>
      </w:r>
    </w:p>
    <w:p>
      <w:pPr>
        <w:pStyle w:val="Heading1"/>
      </w:pPr>
      <w:r>
        <w:t>11. Multi-session logic</w:t>
      </w:r>
    </w:p>
    <w:p>
      <w:r>
        <w:t>Same-day sessions should be linked. Example: swim → breakfast → gym. The day receives a multi-session flag, and recommendations should consider the recovery interval between sessions. This also covers bike → run, run → strength, and other same-day combinations.</w:t>
      </w:r>
    </w:p>
    <w:p>
      <w:pPr>
        <w:pStyle w:val="Heading1"/>
      </w:pPr>
      <w:r>
        <w:t>12. Sleep and menstrual-cycle context</w:t>
      </w:r>
    </w:p>
    <w:p>
      <w:r>
        <w:t>Poor sleep may affect perceived effort and recovery, but it must not be treated as proof of under-fueling. Menstrual-cycle information is optional context; Kona should not apply blanket “day 2 needs X more nutrients” rules. Use reported symptoms and the actual workout context instead.</w:t>
      </w:r>
    </w:p>
    <w:p>
      <w:pPr>
        <w:pStyle w:val="Heading1"/>
      </w:pPr>
      <w:r>
        <w:t>13. Food estimation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Input</w:t>
            </w:r>
          </w:p>
        </w:tc>
        <w:tc>
          <w:tcPr>
            <w:tcW w:type="dxa" w:w="5040"/>
            <w:vAlign w:val="center"/>
          </w:tcPr>
          <w:p>
            <w:r>
              <w:rPr>
                <w:b/>
              </w:rPr>
              <w:t>Behaviour</w:t>
            </w:r>
          </w:p>
        </w:tc>
      </w:tr>
      <w:tr>
        <w:tc>
          <w:tcPr>
            <w:tcW w:type="dxa" w:w="5040"/>
            <w:vAlign w:val="center"/>
          </w:tcPr>
          <w:p>
            <w:r>
              <w:t>Exact branded product</w:t>
            </w:r>
          </w:p>
        </w:tc>
        <w:tc>
          <w:tcPr>
            <w:tcW w:type="dxa" w:w="5040"/>
            <w:vAlign w:val="center"/>
          </w:tcPr>
          <w:p>
            <w:r>
              <w:t>Use known label values.</w:t>
            </w:r>
          </w:p>
        </w:tc>
      </w:tr>
      <w:tr>
        <w:tc>
          <w:tcPr>
            <w:tcW w:type="dxa" w:w="5040"/>
            <w:vAlign w:val="center"/>
          </w:tcPr>
          <w:p>
            <w:r>
              <w:t>Typed ordinary meal</w:t>
            </w:r>
          </w:p>
        </w:tc>
        <w:tc>
          <w:tcPr>
            <w:tcW w:type="dxa" w:w="5040"/>
            <w:vAlign w:val="center"/>
          </w:tcPr>
          <w:p>
            <w:r>
              <w:t>Estimate minimum/maximum ranges; avoid false precision.</w:t>
            </w:r>
          </w:p>
        </w:tc>
      </w:tr>
      <w:tr>
        <w:tc>
          <w:tcPr>
            <w:tcW w:type="dxa" w:w="5040"/>
            <w:vAlign w:val="center"/>
          </w:tcPr>
          <w:p>
            <w:r>
              <w:t>Food photo</w:t>
            </w:r>
          </w:p>
        </w:tc>
        <w:tc>
          <w:tcPr>
            <w:tcW w:type="dxa" w:w="5040"/>
            <w:vAlign w:val="center"/>
          </w:tcPr>
          <w:p>
            <w:r>
              <w:t>Identify likely foods, estimate portions, return a range, ask at most one useful clarification.</w:t>
            </w:r>
          </w:p>
        </w:tc>
      </w:tr>
    </w:tbl>
    <w:p>
      <w:r>
        <w:t>Use internal certainty labels: KNOWN, ESTIMATED, USER_REPORTED, RECOMMENDED. The certainty type should influence the wording the LLM uses.</w:t>
      </w:r>
    </w:p>
    <w:p>
      <w:pPr>
        <w:pStyle w:val="Heading1"/>
      </w:pPr>
      <w:r>
        <w:t>14. Confidence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Confidence</w:t>
            </w:r>
          </w:p>
        </w:tc>
        <w:tc>
          <w:tcPr>
            <w:tcW w:type="dxa" w:w="5040"/>
            <w:vAlign w:val="center"/>
          </w:tcPr>
          <w:p>
            <w:r>
              <w:rPr>
                <w:b/>
              </w:rPr>
              <w:t>Meaning</w:t>
            </w:r>
          </w:p>
        </w:tc>
      </w:tr>
      <w:tr>
        <w:tc>
          <w:tcPr>
            <w:tcW w:type="dxa" w:w="5040"/>
            <w:vAlign w:val="center"/>
          </w:tcPr>
          <w:p>
            <w:r>
              <w:t>High</w:t>
            </w:r>
          </w:p>
        </w:tc>
        <w:tc>
          <w:tcPr>
            <w:tcW w:type="dxa" w:w="5040"/>
            <w:vAlign w:val="center"/>
          </w:tcPr>
          <w:p>
            <w:r>
              <w:t>Important inputs known + reliable user/product-specific data.</w:t>
            </w:r>
          </w:p>
        </w:tc>
      </w:tr>
      <w:tr>
        <w:tc>
          <w:tcPr>
            <w:tcW w:type="dxa" w:w="5040"/>
            <w:vAlign w:val="center"/>
          </w:tcPr>
          <w:p>
            <w:r>
              <w:t>Moderate</w:t>
            </w:r>
          </w:p>
        </w:tc>
        <w:tc>
          <w:tcPr>
            <w:tcW w:type="dxa" w:w="5040"/>
            <w:vAlign w:val="center"/>
          </w:tcPr>
          <w:p>
            <w:r>
              <w:t>Most important inputs known, some personalization estimated.</w:t>
            </w:r>
          </w:p>
        </w:tc>
      </w:tr>
      <w:tr>
        <w:tc>
          <w:tcPr>
            <w:tcW w:type="dxa" w:w="5040"/>
            <w:vAlign w:val="center"/>
          </w:tcPr>
          <w:p>
            <w:r>
              <w:t>Low</w:t>
            </w:r>
          </w:p>
        </w:tc>
        <w:tc>
          <w:tcPr>
            <w:tcW w:type="dxa" w:w="5040"/>
            <w:vAlign w:val="center"/>
          </w:tcPr>
          <w:p>
            <w:r>
              <w:t>Important inputs missing; only broad reference assumptions possible.</w:t>
            </w:r>
          </w:p>
        </w:tc>
      </w:tr>
    </w:tbl>
    <w:p>
      <w:pPr>
        <w:pStyle w:val="Heading1"/>
      </w:pPr>
      <w:r>
        <w:t>15. Recommendation contract</w:t>
      </w:r>
    </w:p>
    <w:p>
      <w:r>
        <w:t>Each recommendation returned to the LLM should contain priority, timing, category, action, and reason codes.</w:t>
      </w:r>
    </w:p>
    <w:p>
      <w:pPr>
        <w:ind w:left="360"/>
      </w:pPr>
      <w:r>
        <w:rPr>
          <w:rFonts w:ascii="Courier New" w:hAnsi="Courier New"/>
          <w:sz w:val="18"/>
        </w:rPr>
        <w:t>{</w:t>
        <w:br/>
        <w:t xml:space="preserve">  "priority": "high",</w:t>
        <w:br/>
        <w:t xml:space="preserve">  "timing": "day_before",</w:t>
        <w:br/>
        <w:t xml:space="preserve">  "category": "preparation",</w:t>
        <w:br/>
        <w:t xml:space="preserve">  "action": "Prepare your usual 750ml bottle and an easy carbohydrate source",</w:t>
        <w:br/>
        <w:t xml:space="preserve">  "reason_codes": ["long_session", "early_start"]</w:t>
        <w:br/>
        <w:t>}</w:t>
      </w:r>
    </w:p>
    <w:p>
      <w:pPr>
        <w:pStyle w:val="Heading1"/>
      </w:pPr>
      <w:r>
        <w:t>16. Main calculation tool contract</w:t>
      </w:r>
    </w:p>
    <w:p>
      <w:pPr>
        <w:ind w:left="360"/>
      </w:pPr>
      <w:r>
        <w:rPr>
          <w:rFonts w:ascii="Courier New" w:hAnsi="Courier New"/>
          <w:sz w:val="18"/>
        </w:rPr>
        <w:t>{</w:t>
        <w:br/>
        <w:t xml:space="preserve">  "session_classification": {</w:t>
        <w:br/>
        <w:t xml:space="preserve">    "duration_class": "LONG",</w:t>
        <w:br/>
        <w:t xml:space="preserve">    "intensity_class": "MODERATE",</w:t>
        <w:br/>
        <w:t xml:space="preserve">    "environment_class": "HOT_HUMID",</w:t>
        <w:br/>
        <w:t xml:space="preserve">    "multi_session": false</w:t>
        <w:br/>
        <w:t xml:space="preserve">  },</w:t>
        <w:br/>
        <w:t xml:space="preserve">  "priorities": {</w:t>
        <w:br/>
        <w:t xml:space="preserve">    "hydration": "HIGH",</w:t>
        <w:br/>
        <w:t xml:space="preserve">    "carbohydrate": "HIGH",</w:t>
        <w:br/>
        <w:t xml:space="preserve">    "sodium": "MODERATE",</w:t>
        <w:br/>
        <w:t xml:space="preserve">    "recovery": "HIGH",</w:t>
        <w:br/>
        <w:t xml:space="preserve">    "preparation": "HIGH"</w:t>
        <w:br/>
        <w:t xml:space="preserve">  },</w:t>
        <w:br/>
        <w:t xml:space="preserve">  "estimates": {</w:t>
        <w:br/>
        <w:t xml:space="preserve">    "fluid_ml_per_hour": {"min": 500, "max": 800, "confidence": "low"},</w:t>
        <w:br/>
        <w:t xml:space="preserve">    "carbohydrate_g_per_hour": {"min": 30, "max": 60, "confidence": "moderate"},</w:t>
        <w:br/>
        <w:t xml:space="preserve">    "sodium": {"mode": "reference_concentration", "mg_per_litre": {"min": 500, "max": 700}, "confidence": "low"}</w:t>
        <w:br/>
        <w:t xml:space="preserve">  },</w:t>
        <w:br/>
        <w:t xml:space="preserve">  "methodology_version": "0.1.0"</w:t>
        <w:br/>
        <w:t>}</w:t>
      </w:r>
    </w:p>
    <w:p>
      <w:r>
        <w:t>The numerical values shown above are reference implementation placeholders for coding/test scaffolding. They are not ready-to-publish personalized prescriptions. Production values should come from a reviewed, versioned rules table.</w:t>
      </w:r>
    </w:p>
    <w:p>
      <w:pPr>
        <w:pStyle w:val="Heading1"/>
      </w:pPr>
      <w:r>
        <w:t>17. Test suite</w:t>
      </w:r>
    </w:p>
    <w:p>
      <w:pPr>
        <w:pStyle w:val="ListBullet"/>
      </w:pPr>
      <w:r>
        <w:t>40-min easy gym session → no mandatory carbohydrate target.</w:t>
      </w:r>
    </w:p>
    <w:p>
      <w:pPr>
        <w:pStyle w:val="ListBullet"/>
      </w:pPr>
      <w:r>
        <w:t>50-min easy run in normal conditions → basic hydration guidance only.</w:t>
      </w:r>
    </w:p>
    <w:p>
      <w:pPr>
        <w:pStyle w:val="ListBullet"/>
      </w:pPr>
      <w:r>
        <w:t>75-min hard run → carbohydrate planning becomes relevant.</w:t>
      </w:r>
    </w:p>
    <w:p>
      <w:pPr>
        <w:pStyle w:val="ListBullet"/>
      </w:pPr>
      <w:r>
        <w:t>110-min moderate run → carbohydrate + hydration preparation.</w:t>
      </w:r>
    </w:p>
    <w:p>
      <w:pPr>
        <w:pStyle w:val="ListBullet"/>
      </w:pPr>
      <w:r>
        <w:t>110-min run in hot/humid conditions → hydration priority increases.</w:t>
      </w:r>
    </w:p>
    <w:p>
      <w:pPr>
        <w:pStyle w:val="ListBullet"/>
      </w:pPr>
      <w:r>
        <w:t>Measured sweat rate overrides fallback hydration estimate.</w:t>
      </w:r>
    </w:p>
    <w:p>
      <w:pPr>
        <w:pStyle w:val="ListBullet"/>
      </w:pPr>
      <w:r>
        <w:t>Known sweat sodium changes sodium mode from reference concentration to estimated loss.</w:t>
      </w:r>
    </w:p>
    <w:p>
      <w:pPr>
        <w:pStyle w:val="ListBullet"/>
      </w:pPr>
      <w:r>
        <w:t>No sweat data → never give an exact personal sodium-loss figure.</w:t>
      </w:r>
    </w:p>
    <w:p>
      <w:pPr>
        <w:pStyle w:val="ListBullet"/>
      </w:pPr>
      <w:r>
        <w:t>Planned 18 km → actual 10 km → actual session used for post-workout calculation.</w:t>
      </w:r>
    </w:p>
    <w:p>
      <w:pPr>
        <w:pStyle w:val="ListBullet"/>
      </w:pPr>
      <w:r>
        <w:t>Swim + gym same day → multi-session logic activates.</w:t>
      </w:r>
    </w:p>
    <w:p>
      <w:pPr>
        <w:pStyle w:val="ListBullet"/>
      </w:pPr>
      <w:r>
        <w:t>Poor sleep → acknowledge context, do not diagnose under-fueling.</w:t>
      </w:r>
    </w:p>
    <w:p>
      <w:pPr>
        <w:pStyle w:val="ListBullet"/>
      </w:pPr>
      <w:r>
        <w:t>Severe cramp → capture symptom without causal diagnosis.</w:t>
      </w:r>
    </w:p>
    <w:p>
      <w:pPr>
        <w:pStyle w:val="ListBullet"/>
      </w:pPr>
      <w:r>
        <w:t>Exact protein shake → known product value preserved.</w:t>
      </w:r>
    </w:p>
    <w:p>
      <w:pPr>
        <w:pStyle w:val="ListBullet"/>
      </w:pPr>
      <w:r>
        <w:t>Vague meal → ranges, not false precision.</w:t>
      </w:r>
    </w:p>
    <w:p>
      <w:pPr>
        <w:pStyle w:val="ListBullet"/>
      </w:pPr>
      <w:r>
        <w:t>Photo meal → estimated range + uncertainty.</w:t>
      </w:r>
    </w:p>
    <w:p>
      <w:pPr>
        <w:pStyle w:val="ListBullet"/>
      </w:pPr>
      <w:r>
        <w:t>Weight gain during exercise → no recommendation to increase fluids.</w:t>
      </w:r>
    </w:p>
    <w:p>
      <w:pPr>
        <w:pStyle w:val="ListBullet"/>
      </w:pPr>
      <w:r>
        <w:t>High-risk medical symptom → safety escalation.</w:t>
      </w:r>
    </w:p>
    <w:p>
      <w:pPr>
        <w:pStyle w:val="Heading1"/>
      </w:pPr>
      <w:r>
        <w:t>18. Reference sources</w:t>
      </w:r>
    </w:p>
    <w:p>
      <w:pPr>
        <w:pStyle w:val="ListBullet"/>
      </w:pPr>
      <w:r>
        <w:t>ACSM — Exercise and Fluid Replacement (2007), PubMed PMID 17277604</w:t>
        <w:br/>
      </w:r>
      <w:r>
        <w:rPr>
          <w:sz w:val="18"/>
        </w:rPr>
        <w:t>https://pubmed.ncbi.nlm.nih.gov/17277604/</w:t>
      </w:r>
    </w:p>
    <w:p>
      <w:pPr>
        <w:pStyle w:val="ListBullet"/>
      </w:pPr>
      <w:r>
        <w:t>Thomas et al. — Nutrition and Athletic Performance (2016), PubMed PMID 26891166</w:t>
        <w:br/>
      </w:r>
      <w:r>
        <w:rPr>
          <w:sz w:val="18"/>
        </w:rPr>
        <w:t>https://pubmed.ncbi.nlm.nih.gov/26891166/</w:t>
      </w:r>
    </w:p>
    <w:p>
      <w:pPr>
        <w:pStyle w:val="ListBullet"/>
      </w:pPr>
      <w:r>
        <w:t>Jäger et al. — ISSN Position Stand: Protein and Exercise (2017), PubMed PMID 28642676</w:t>
        <w:br/>
      </w:r>
      <w:r>
        <w:rPr>
          <w:sz w:val="18"/>
        </w:rPr>
        <w:t>https://pubmed.ncbi.nlm.nih.gov/28642676/</w:t>
      </w:r>
    </w:p>
    <w:p>
      <w:pPr>
        <w:pStyle w:val="ListBullet"/>
      </w:pPr>
      <w:r>
        <w:t>Kerksick et al. — ISSN Position Stand: Nutrient Timing (2017), PubMed PMID 28919842</w:t>
        <w:br/>
      </w:r>
      <w:r>
        <w:rPr>
          <w:sz w:val="18"/>
        </w:rPr>
        <w:t>https://pubmed.ncbi.nlm.nih.gov/28919842/</w:t>
      </w:r>
    </w:p>
    <w:p>
      <w:pPr>
        <w:pStyle w:val="ListBullet"/>
      </w:pPr>
      <w:r>
        <w:t>McDermott et al. — NATA Position Statement: Fluid Replacement (2017), PubMed PMID 28985128</w:t>
        <w:br/>
      </w:r>
      <w:r>
        <w:rPr>
          <w:sz w:val="18"/>
        </w:rPr>
        <w:t>https://pubmed.ncbi.nlm.nih.gov/28985128/</w:t>
      </w:r>
    </w:p>
    <w:p>
      <w:pPr>
        <w:pStyle w:val="ListBullet"/>
      </w:pPr>
      <w:r>
        <w:t>Miller et al. — Evidence-Based Review of Exercise-Associated Muscle Cramps (2022), PubMed PMID 34185846</w:t>
        <w:br/>
      </w:r>
      <w:r>
        <w:rPr>
          <w:sz w:val="18"/>
        </w:rPr>
        <w:t>https://pubmed.ncbi.nlm.nih.gov/34185846/</w:t>
      </w:r>
    </w:p>
    <w:p>
      <w:pPr>
        <w:pStyle w:val="ListBullet"/>
      </w:pPr>
      <w:r>
        <w:t>Baker — Sweating Rate and Sweat Sodium Variability (2017), PubMed PMID 28332116</w:t>
        <w:br/>
      </w:r>
      <w:r>
        <w:rPr>
          <w:sz w:val="18"/>
        </w:rPr>
        <w:t>https://pubmed.ncbi.nlm.nih.gov/28332116/</w:t>
      </w:r>
    </w:p>
    <w:p>
      <w:pPr>
        <w:pStyle w:val="ListBullet"/>
      </w:pPr>
      <w:r>
        <w:t>McCubbin et al. — Modelling Sodium Requirements (2022), PubMed PMID 35616504</w:t>
        <w:br/>
      </w:r>
      <w:r>
        <w:rPr>
          <w:sz w:val="18"/>
        </w:rPr>
        <w:t>https://pubmed.ncbi.nlm.nih.gov/35616504/</w:t>
      </w:r>
    </w:p>
    <w:p>
      <w:pPr>
        <w:spacing w:before="160"/>
      </w:pPr>
      <w:r>
        <w:rPr>
          <w:b/>
        </w:rPr>
        <w:t>Important: This document is a product/engineering specification, not medical guidance. Numerical methodology must be reviewed by an appropriately qualified sports-nutrition professional before public release.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Kona Calculation Engine v0.1 — MVP working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Kona Calculation Engine Specification v0.1</dc:title>
  <dc:subject>Kona AI training-fueling companion</dc:subject>
  <dc:creator>Kona product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