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Records of Processing Activities (ROPA) – Banking Platform</w:t>
      </w:r>
    </w:p>
    <w:p>
      <w:pPr>
        <w:pStyle w:val="Heading2"/>
      </w:pPr>
      <w:r>
        <w:t>1. Controller and Processing Context</w:t>
      </w:r>
    </w:p>
    <w:p>
      <w:r>
        <w:t>The banking platform operator acts as data controller for customer, employee, and transactional data processed within the system.</w:t>
      </w:r>
    </w:p>
    <w:p>
      <w:r>
        <w:t>Processing activities support core banking services, regulatory compliance, fraud prevention, and customer support.</w:t>
      </w:r>
    </w:p>
    <w:p>
      <w:pPr>
        <w:pStyle w:val="Heading2"/>
      </w:pPr>
      <w:r>
        <w:t>2. Categories of Data Subjects and Personal Data</w:t>
      </w:r>
    </w:p>
    <w:p>
      <w:r>
        <w:t>Data subjects include retail customers, corporate customers, authorized users, and employees.</w:t>
      </w:r>
    </w:p>
    <w:p>
      <w:r>
        <w:t>Personal data categories include identification data, contact details, financial transaction data, authentication data, and audit logs.</w:t>
      </w:r>
    </w:p>
    <w:p>
      <w:pPr>
        <w:pStyle w:val="Heading2"/>
      </w:pPr>
      <w:r>
        <w:t>3. Purposes of Processing</w:t>
      </w:r>
    </w:p>
    <w:p>
      <w:r>
        <w:t>Personal data is processed to provide banking services, comply with legal obligations, manage security, and support operational activities.</w:t>
      </w:r>
    </w:p>
    <w:p>
      <w:r>
        <w:t>Processing purposes are documented and limited to what is necessary for defined business and regulatory objectives.</w:t>
      </w:r>
    </w:p>
    <w:p>
      <w:pPr>
        <w:pStyle w:val="Heading2"/>
      </w:pPr>
      <w:r>
        <w:t>4. Legal Bases</w:t>
      </w:r>
    </w:p>
    <w:p>
      <w:r>
        <w:t>Processing is based on contractual necessity, legal obligations under financial regulations, and legitimate interests such as fraud prevention.</w:t>
      </w:r>
    </w:p>
    <w:p>
      <w:r>
        <w:t>Where required, explicit consent is obtained and documented.</w:t>
      </w:r>
    </w:p>
    <w:p>
      <w:pPr>
        <w:pStyle w:val="Heading2"/>
      </w:pPr>
      <w:r>
        <w:t>5. Data Recipients and Transfers</w:t>
      </w:r>
    </w:p>
    <w:p>
      <w:r>
        <w:t>Data may be shared with regulated service providers, auditors, and supervisory authorities.</w:t>
      </w:r>
    </w:p>
    <w:p>
      <w:r>
        <w:t>International transfers are safeguarded through appropriate legal mechanisms and contractual protections.</w:t>
      </w:r>
    </w:p>
    <w:p>
      <w:pPr>
        <w:pStyle w:val="Heading2"/>
      </w:pPr>
      <w:r>
        <w:t>6. Retention and Security Measures</w:t>
      </w:r>
    </w:p>
    <w:p>
      <w:r>
        <w:t>Retention periods are defined per data category and aligned with statutory requirements.</w:t>
      </w:r>
    </w:p>
    <w:p>
      <w:r>
        <w:t>Technical and organizational measures include encryption, access controls, logging, and regular security assessments.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