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SOC 2 Control Narrative and Evidence Mapping – Banking Platform</w:t>
      </w:r>
    </w:p>
    <w:p>
      <w:pPr>
        <w:pStyle w:val="Heading2"/>
      </w:pPr>
      <w:r>
        <w:t>1. Control Environment Overview</w:t>
      </w:r>
    </w:p>
    <w:p>
      <w:r>
        <w:t>The banking platform operates under a formal governance structure defining accountability for security, availability, and confidentiality.</w:t>
      </w:r>
    </w:p>
    <w:p>
      <w:r>
        <w:t>Policies and procedures are approved by management and reviewed regularly.</w:t>
      </w:r>
    </w:p>
    <w:p>
      <w:pPr>
        <w:pStyle w:val="Heading2"/>
      </w:pPr>
      <w:r>
        <w:t>2. Logical Access Controls</w:t>
      </w:r>
    </w:p>
    <w:p>
      <w:r>
        <w:t>Access to systems is role-based, approved, and periodically reviewed to ensure least-privilege principles.</w:t>
      </w:r>
    </w:p>
    <w:p>
      <w:r>
        <w:t>Authentication mechanisms include multi-factor authentication for privileged and sensitive access.</w:t>
      </w:r>
    </w:p>
    <w:p>
      <w:pPr>
        <w:pStyle w:val="Heading2"/>
      </w:pPr>
      <w:r>
        <w:t>3. Change Management Controls</w:t>
      </w:r>
    </w:p>
    <w:p>
      <w:r>
        <w:t>Changes to production systems follow a documented change management process including testing, approval, and rollback procedures.</w:t>
      </w:r>
    </w:p>
    <w:p>
      <w:r>
        <w:t>All changes are logged and auditable.</w:t>
      </w:r>
    </w:p>
    <w:p>
      <w:pPr>
        <w:pStyle w:val="Heading2"/>
      </w:pPr>
      <w:r>
        <w:t>4. Monitoring and Incident Management</w:t>
      </w:r>
    </w:p>
    <w:p>
      <w:r>
        <w:t>Continuous monitoring detects anomalous behavior and security events.</w:t>
      </w:r>
    </w:p>
    <w:p>
      <w:r>
        <w:t>Incidents are managed in accordance with the Incident Response Playbook, with documented evidence of resolution.</w:t>
      </w:r>
    </w:p>
    <w:p>
      <w:pPr>
        <w:pStyle w:val="Heading2"/>
      </w:pPr>
      <w:r>
        <w:t>5. Evidence Mapping</w:t>
      </w:r>
    </w:p>
    <w:p>
      <w:r>
        <w:t>Control evidence includes access review records, change tickets, incident logs, monitoring alerts, and management approvals.</w:t>
      </w:r>
    </w:p>
    <w:p>
      <w:r>
        <w:t>Evidence is retained and made available for independent audit and assurance activities.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