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Retention and Deletion Policy – Digital Banking Platform</w:t>
      </w:r>
    </w:p>
    <w:p>
      <w:r>
        <w:br/>
        <w:t>Version: 1.0</w:t>
        <w:br/>
        <w:t>Status: Approved</w:t>
        <w:br/>
        <w:t>Applies to: All systems processing customer, transactional, and operational data</w:t>
        <w:br/>
        <w:t>Frameworks: GDPR, SOC 2, ISO/IEC 27001</w:t>
        <w:br/>
        <w:t>Last Review: Q1 2026</w:t>
      </w:r>
    </w:p>
    <w:p>
      <w:r>
        <w:t>1. Purpose and Scope</w:t>
        <w:br/>
        <w:t>This policy defines the principles, rules, and operational controls governing the retention, archival, and deletion of data processed by the Digital Banking Platform. Its objective is to ensure that personal, financial, and operational data is retained only for as long as necessary to meet legal, regulatory, contractual, and business requirements, and is securely deleted once those purposes expire.</w:t>
      </w:r>
    </w:p>
    <w:p>
      <w:r>
        <w:t>The policy applies to all production, test, backup, and analytics environments operated by or on behalf of the organization, including cloud infrastructure, third-party processors, and outsourced service providers.</w:t>
      </w:r>
    </w:p>
    <w:p>
      <w:r>
        <w:t>2. Regulatory and Legal Basis</w:t>
        <w:br/>
        <w:t>Data retention obligations arise from multiple regulatory sources. Personal data processed within the European Union is subject to the General Data Protection Regulation (GDPR), in particular Articles 5(1)(e), 17, and 30. Financial transaction data is additionally governed by banking supervision laws, anti-money laundering regulations, and statutory accounting requirements. For customers and systems subject to SOC 2, this policy supports the principles of Confidentiality, Security, and Availability.</w:t>
      </w:r>
    </w:p>
    <w:p>
      <w:r>
        <w:t>Where multiple regulations apply simultaneously, the longest mandatory retention period shall prevail unless explicitly prohibited by data protection law.</w:t>
      </w:r>
    </w:p>
    <w:p>
      <w:r>
        <w:t>3. Data Classification</w:t>
        <w:br/>
        <w:t>All data processed by the platform must be classified before storage according to the organization’s Data Classification Standard. The following categories are relevant for retention decisions:</w:t>
        <w:br/>
        <w:t>- Customer Personal Data</w:t>
        <w:br/>
        <w:t>- Financial and Transaction Data</w:t>
        <w:br/>
        <w:t>- Authentication and Security Logs</w:t>
        <w:br/>
        <w:t>- Operational and System Data</w:t>
        <w:br/>
        <w:t>- Compliance and Audit Artifacts</w:t>
      </w:r>
    </w:p>
    <w:p>
      <w:r>
        <w:t>4. Retention Periods</w:t>
        <w:br/>
        <w:t>Customer Personal Data is retained for the duration of the customer relationship and up to five years thereafter.</w:t>
        <w:br/>
        <w:t>Transaction Records are retained for a minimum of ten years.</w:t>
        <w:br/>
        <w:t>Security and Access Logs are retained for at least twelve months.</w:t>
        <w:br/>
        <w:t>Audit Evidence is retained for at least seven years.</w:t>
        <w:br/>
        <w:t>Derived and analytical data is retained only in anonymized or aggregated form.</w:t>
      </w:r>
    </w:p>
    <w:p>
      <w:r>
        <w:t>5. Secure Deletion and Disposal</w:t>
        <w:br/>
        <w:t>When data reaches the end of its retention period, it must be securely deleted using approved deletion mechanisms including cryptographic erasure and secure overwrite. Deletion must apply to all primary, backup, and replicated systems.</w:t>
      </w:r>
    </w:p>
    <w:p>
      <w:r>
        <w:t>6. Data Subject Rights</w:t>
        <w:br/>
        <w:t>Data subjects may request deletion, restriction, or access. Requests are evaluated against legal obligations and documented accordingly.</w:t>
      </w:r>
    </w:p>
    <w:p>
      <w:r>
        <w:t>7. Roles and Responsibilities</w:t>
        <w:br/>
        <w:t>Data Owners define retention requirements.</w:t>
        <w:br/>
        <w:t>Legal and Compliance approve retention schedules.</w:t>
        <w:br/>
        <w:t>Engineering implements controls.</w:t>
        <w:br/>
        <w:t>Information Security monitors compliance.</w:t>
        <w:br/>
        <w:t>Third parties must meet equivalent standards.</w:t>
      </w:r>
    </w:p>
    <w:p>
      <w:r>
        <w:t>8. Monitoring and Enforcement</w:t>
        <w:br/>
        <w:t>Automated controls detect retention violations. Exceptions require approval and documentation.</w:t>
      </w:r>
    </w:p>
    <w:p>
      <w:r>
        <w:t>9. Review and Continuous Improvement</w:t>
        <w:br/>
        <w:t>This policy is reviewed annually or upon material regulatory or architectural changes.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