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Incident Response Playbook – Banking Platform (SOC 2 Ready)</w:t>
      </w:r>
    </w:p>
    <w:p>
      <w:pPr>
        <w:pStyle w:val="Heading2"/>
      </w:pPr>
      <w:r>
        <w:t>1. Purpose and Scope</w:t>
      </w:r>
    </w:p>
    <w:p>
      <w:r>
        <w:t>This Incident Response Playbook defines the structured approach for detecting, responding to, containing, and recovering from security incidents affecting the banking platform. It is designed to meet SOC 2, ISO 27001, and regulatory supervisory expectations.</w:t>
      </w:r>
    </w:p>
    <w:p>
      <w:r>
        <w:t>The playbook applies to all production systems, supporting infrastructure, third-party integrations, and personnel involved in operating or supporting the platform.</w:t>
      </w:r>
    </w:p>
    <w:p>
      <w:pPr>
        <w:pStyle w:val="Heading2"/>
      </w:pPr>
      <w:r>
        <w:t>2. Incident Classification</w:t>
      </w:r>
    </w:p>
    <w:p>
      <w:r>
        <w:t>Incidents are categorized based on impact and urgency, including confidentiality breaches, integrity violations, availability disruptions, and regulatory-reportable events.</w:t>
      </w:r>
    </w:p>
    <w:p>
      <w:r>
        <w:t>Severity levels (Critical, High, Medium, Low) determine escalation paths, response timelines, and communication obligations.</w:t>
      </w:r>
    </w:p>
    <w:p>
      <w:pPr>
        <w:pStyle w:val="Heading2"/>
      </w:pPr>
      <w:r>
        <w:t>3. Roles and Responsibilities</w:t>
      </w:r>
    </w:p>
    <w:p>
      <w:r>
        <w:t>The Incident Commander coordinates response activities, ensures timely decision-making, and maintains overall accountability for incident resolution.</w:t>
      </w:r>
    </w:p>
    <w:p>
      <w:r>
        <w:t>Security Engineering performs technical investigation, containment, and eradication actions, while Legal and Compliance assess regulatory impact and notification duties.</w:t>
      </w:r>
    </w:p>
    <w:p>
      <w:r>
        <w:t>Communications manages internal and external messaging to stakeholders, customers, and authorities when required.</w:t>
      </w:r>
    </w:p>
    <w:p>
      <w:pPr>
        <w:pStyle w:val="Heading2"/>
      </w:pPr>
      <w:r>
        <w:t>4. Detection and Analysis</w:t>
      </w:r>
    </w:p>
    <w:p>
      <w:r>
        <w:t>Incidents may be detected through automated monitoring, security alerts, employee reports, or third-party notifications.</w:t>
      </w:r>
    </w:p>
    <w:p>
      <w:r>
        <w:t>All alerts are logged, triaged, and analyzed to determine root cause, affected assets, and potential data exposure.</w:t>
      </w:r>
    </w:p>
    <w:p>
      <w:pPr>
        <w:pStyle w:val="Heading2"/>
      </w:pPr>
      <w:r>
        <w:t>5. Containment, Eradication, and Recovery</w:t>
      </w:r>
    </w:p>
    <w:p>
      <w:r>
        <w:t>Short-term containment actions limit further damage, such as isolating systems or revoking credentials.</w:t>
      </w:r>
    </w:p>
    <w:p>
      <w:r>
        <w:t>Permanent remediation addresses root causes, followed by controlled recovery and validation to ensure normal operations are restored.</w:t>
      </w:r>
    </w:p>
    <w:p>
      <w:pPr>
        <w:pStyle w:val="Heading2"/>
      </w:pPr>
      <w:r>
        <w:t>6. Post-Incident Review</w:t>
      </w:r>
    </w:p>
    <w:p>
      <w:r>
        <w:t>A formal post-incident review documents lessons learned, control gaps, and required improvements.</w:t>
      </w:r>
    </w:p>
    <w:p>
      <w:r>
        <w:t>Action items are tracked to completion and integrated into security and risk management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