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8A6A5">
      <w:pPr>
        <w:pStyle w:val="6"/>
      </w:pPr>
      <w:r>
        <w:t>Customer Churn Analysis Report</w:t>
      </w:r>
    </w:p>
    <w:p w14:paraId="795A45A0">
      <w:r>
        <w:t>This report presents the exploratory data analysis and data preparation steps undertaken to predict customer churn using various data sets. It includes data collection, visuali</w:t>
      </w:r>
      <w:r>
        <w:rPr>
          <w:rFonts w:hint="default"/>
          <w:lang w:val="en-US"/>
        </w:rPr>
        <w:t>z</w:t>
      </w:r>
      <w:r>
        <w:t>ation, and cleaning processes, providing a foundation for developing a predictive model.</w:t>
      </w:r>
    </w:p>
    <w:p w14:paraId="32092F6E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Data Collection and Identification</w:t>
      </w:r>
    </w:p>
    <w:p w14:paraId="452ED6AB">
      <w:r>
        <w:t>The following data sets were identified as relevant for predicting customer churn:</w:t>
      </w:r>
      <w:r>
        <w:br w:type="textWrapping"/>
      </w:r>
      <w:r>
        <w:t>- Customer Demographics</w:t>
      </w:r>
      <w:r>
        <w:br w:type="textWrapping"/>
      </w:r>
      <w:r>
        <w:t>- Transaction History</w:t>
      </w:r>
      <w:r>
        <w:br w:type="textWrapping"/>
      </w:r>
      <w:r>
        <w:t>- Customer Service Interactions</w:t>
      </w:r>
      <w:r>
        <w:br w:type="textWrapping"/>
      </w:r>
      <w:r>
        <w:t>- Online Activity</w:t>
      </w:r>
      <w:r>
        <w:br w:type="textWrapping"/>
      </w:r>
      <w:r>
        <w:t>- Churn Status</w:t>
      </w:r>
      <w:r>
        <w:br w:type="textWrapping"/>
      </w:r>
      <w:r>
        <w:t>These data sets provide comprehensive insights into customer behaviour and engagement.</w:t>
      </w:r>
    </w:p>
    <w:p w14:paraId="75940939">
      <w:pPr>
        <w:pStyle w:val="2"/>
      </w:pPr>
      <w:r>
        <w:t>Exploratory Data Analysis</w:t>
      </w:r>
    </w:p>
    <w:p w14:paraId="70256A92">
      <w:r>
        <w:t xml:space="preserve">Exploratory data analysis was conducted to uncover patterns and insights that could inform predictive modelling. Key findings include demographic trends, spending patterns, </w:t>
      </w:r>
      <w:r>
        <w:rPr>
          <w:rFonts w:hint="default"/>
          <w:lang w:val="en-US"/>
        </w:rPr>
        <w:t>and customer churn rate</w:t>
      </w:r>
      <w:r>
        <w:t>.</w:t>
      </w:r>
    </w:p>
    <w:p w14:paraId="5E0BBAB7"/>
    <w:p w14:paraId="24E1A810">
      <w:r>
        <w:drawing>
          <wp:inline distT="0" distB="0" distL="114300" distR="114300">
            <wp:extent cx="4745990" cy="3209925"/>
            <wp:effectExtent l="0" t="0" r="165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153E">
      <w:pPr>
        <w:pStyle w:val="3"/>
        <w:rPr>
          <w:rFonts w:hint="default"/>
          <w:lang w:val="en-US"/>
        </w:rPr>
      </w:pPr>
      <w:r>
        <w:t>Figure 1: Age Distribution of Customers</w:t>
      </w:r>
      <w:r>
        <w:rPr>
          <w:rFonts w:hint="default"/>
          <w:lang w:val="en-US"/>
        </w:rPr>
        <w:t xml:space="preserve"> with their Income level.</w:t>
      </w:r>
    </w:p>
    <w:p w14:paraId="35B54562"/>
    <w:p w14:paraId="12CE58FC">
      <w:r>
        <w:drawing>
          <wp:inline distT="0" distB="0" distL="114300" distR="114300">
            <wp:extent cx="4613275" cy="3119755"/>
            <wp:effectExtent l="0" t="0" r="158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BE0B3">
      <w:pPr>
        <w:pStyle w:val="3"/>
        <w:rPr>
          <w:rFonts w:hint="default"/>
          <w:lang w:val="en-US"/>
        </w:rPr>
      </w:pPr>
      <w:r>
        <w:t xml:space="preserve">Figure </w:t>
      </w:r>
      <w:r>
        <w:rPr>
          <w:rFonts w:hint="default"/>
          <w:lang w:val="en-US"/>
        </w:rPr>
        <w:t>2</w:t>
      </w:r>
      <w:r>
        <w:t>: Customer</w:t>
      </w:r>
      <w:r>
        <w:rPr>
          <w:rFonts w:hint="default"/>
          <w:lang w:val="en-US"/>
        </w:rPr>
        <w:t xml:space="preserve"> Count by Gender and Marital Status.</w:t>
      </w:r>
    </w:p>
    <w:p w14:paraId="7C03C8D3">
      <w:pPr>
        <w:rPr>
          <w:rFonts w:hint="default"/>
          <w:lang w:val="en-US"/>
        </w:rPr>
      </w:pPr>
    </w:p>
    <w:p w14:paraId="607A6C8B">
      <w:r>
        <w:drawing>
          <wp:inline distT="0" distB="0" distL="114300" distR="114300">
            <wp:extent cx="4493260" cy="29286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E2A1">
      <w:pPr>
        <w:pStyle w:val="3"/>
        <w:rPr>
          <w:rFonts w:hint="default"/>
          <w:lang w:val="en-US"/>
        </w:rPr>
      </w:pPr>
      <w:r>
        <w:t xml:space="preserve">Figure </w:t>
      </w:r>
      <w:r>
        <w:rPr>
          <w:rFonts w:hint="default"/>
          <w:lang w:val="en-US"/>
        </w:rPr>
        <w:t xml:space="preserve">3: This bar chart shows the total amount spent on each product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category.</w:t>
      </w:r>
    </w:p>
    <w:p w14:paraId="6F3067BD">
      <w:pPr>
        <w:rPr>
          <w:rFonts w:hint="default"/>
          <w:lang w:val="en-US"/>
        </w:rPr>
      </w:pPr>
    </w:p>
    <w:p w14:paraId="67287AD2">
      <w:r>
        <w:drawing>
          <wp:inline distT="0" distB="0" distL="114300" distR="114300">
            <wp:extent cx="4464050" cy="2903855"/>
            <wp:effectExtent l="0" t="0" r="1270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1E2C">
      <w:pPr>
        <w:pStyle w:val="3"/>
        <w:rPr>
          <w:rFonts w:hint="default"/>
          <w:lang w:val="en-US"/>
        </w:rPr>
      </w:pPr>
      <w:r>
        <w:t xml:space="preserve">Figure </w:t>
      </w:r>
      <w:r>
        <w:rPr>
          <w:rFonts w:hint="default"/>
          <w:lang w:val="en-US"/>
        </w:rPr>
        <w:t xml:space="preserve">4: The time series plot shows the level of amount spent for each month </w:t>
      </w:r>
      <w:r>
        <w:rPr>
          <w:rFonts w:hint="default"/>
          <w:lang w:val="en-US"/>
        </w:rPr>
        <w:tab/>
        <w:t xml:space="preserve">     throughout the year.</w:t>
      </w:r>
    </w:p>
    <w:p w14:paraId="477EAC22">
      <w:pPr>
        <w:rPr>
          <w:rFonts w:hint="default"/>
          <w:lang w:val="en-US"/>
        </w:rPr>
      </w:pPr>
    </w:p>
    <w:p w14:paraId="2015DC79">
      <w:r>
        <w:drawing>
          <wp:inline distT="0" distB="0" distL="114300" distR="114300">
            <wp:extent cx="4067175" cy="3033395"/>
            <wp:effectExtent l="0" t="0" r="952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02134">
      <w:pPr>
        <w:pStyle w:val="3"/>
        <w:rPr>
          <w:rFonts w:hint="default"/>
          <w:lang w:val="en-US"/>
        </w:rPr>
      </w:pPr>
      <w:r>
        <w:t xml:space="preserve">Figure </w:t>
      </w:r>
      <w:r>
        <w:rPr>
          <w:rFonts w:hint="default"/>
          <w:lang w:val="en-US"/>
        </w:rPr>
        <w:t xml:space="preserve">5: Churn Status Percentage. This bar graph indicate that there are </w:t>
      </w:r>
      <w:r>
        <w:rPr>
          <w:rFonts w:hint="default"/>
          <w:lang w:val="en-US"/>
        </w:rPr>
        <w:tab/>
        <w:t>79.60% of customer retention and 20.40% of customer churn.</w:t>
      </w:r>
    </w:p>
    <w:p w14:paraId="4CACBC94">
      <w:pPr>
        <w:rPr>
          <w:rFonts w:hint="default"/>
          <w:lang w:val="en-US"/>
        </w:rPr>
      </w:pPr>
    </w:p>
    <w:p w14:paraId="620FB148">
      <w:r>
        <w:drawing>
          <wp:inline distT="0" distB="0" distL="114300" distR="114300">
            <wp:extent cx="4057650" cy="2744470"/>
            <wp:effectExtent l="0" t="0" r="0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EA4CA">
      <w:pPr>
        <w:pStyle w:val="3"/>
        <w:rPr>
          <w:rFonts w:hint="default"/>
          <w:lang w:val="en-US"/>
        </w:rPr>
      </w:pPr>
      <w:r>
        <w:t xml:space="preserve">Figure </w:t>
      </w:r>
      <w:r>
        <w:rPr>
          <w:rFonts w:hint="default"/>
          <w:lang w:val="en-US"/>
        </w:rPr>
        <w:t xml:space="preserve">6: Churn Status by Service Usage. This chart show the number of </w:t>
      </w:r>
      <w:r>
        <w:rPr>
          <w:rFonts w:hint="default"/>
          <w:lang w:val="en-US"/>
        </w:rPr>
        <w:tab/>
        <w:t>customers re-tend or churn during each service usage.</w:t>
      </w:r>
    </w:p>
    <w:p w14:paraId="739A6DBA">
      <w:pPr>
        <w:rPr>
          <w:rFonts w:hint="default"/>
          <w:lang w:val="en-US"/>
        </w:rPr>
      </w:pPr>
    </w:p>
    <w:p w14:paraId="703664DE">
      <w:r>
        <w:drawing>
          <wp:inline distT="0" distB="0" distL="114300" distR="114300">
            <wp:extent cx="5270500" cy="2828925"/>
            <wp:effectExtent l="0" t="0" r="635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BA5E0">
      <w:pPr>
        <w:pStyle w:val="3"/>
        <w:rPr>
          <w:rFonts w:hint="default"/>
          <w:lang w:val="en-US"/>
        </w:rPr>
      </w:pPr>
      <w:r>
        <w:t xml:space="preserve">Figure </w:t>
      </w:r>
      <w:r>
        <w:rPr>
          <w:rFonts w:hint="default"/>
          <w:lang w:val="en-US"/>
        </w:rPr>
        <w:t xml:space="preserve">7: Income Level vs. Product Category. This shows the numbers of </w:t>
      </w:r>
      <w:r>
        <w:rPr>
          <w:rFonts w:hint="default"/>
          <w:lang w:val="en-US"/>
        </w:rPr>
        <w:tab/>
        <w:t>product made by each level of income earners.</w:t>
      </w:r>
    </w:p>
    <w:p w14:paraId="0A7655DE">
      <w:pPr>
        <w:rPr>
          <w:rFonts w:hint="default"/>
          <w:lang w:val="en-US"/>
        </w:rPr>
      </w:pPr>
    </w:p>
    <w:p w14:paraId="3BF88587"/>
    <w:p w14:paraId="6C44225F">
      <w:r>
        <w:drawing>
          <wp:inline distT="0" distB="0" distL="114300" distR="114300">
            <wp:extent cx="4566920" cy="3106420"/>
            <wp:effectExtent l="0" t="0" r="508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9B9D">
      <w:pPr>
        <w:pStyle w:val="3"/>
        <w:rPr>
          <w:rFonts w:hint="default"/>
          <w:lang w:val="en-US"/>
        </w:rPr>
      </w:pPr>
      <w:r>
        <w:t xml:space="preserve">Figure </w:t>
      </w:r>
      <w:r>
        <w:rPr>
          <w:rFonts w:hint="default"/>
          <w:lang w:val="en-US"/>
        </w:rPr>
        <w:t>8: Spending Pattern and Churn Rate.</w:t>
      </w:r>
    </w:p>
    <w:p w14:paraId="518EEDA4">
      <w:pPr>
        <w:rPr>
          <w:rFonts w:hint="default"/>
          <w:lang w:val="en-US"/>
        </w:rPr>
      </w:pPr>
    </w:p>
    <w:p w14:paraId="6DF5C100">
      <w:r>
        <w:drawing>
          <wp:inline distT="0" distB="0" distL="114300" distR="114300">
            <wp:extent cx="4236720" cy="2844800"/>
            <wp:effectExtent l="0" t="0" r="1143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DAEB3">
      <w:pPr>
        <w:pStyle w:val="3"/>
        <w:rPr>
          <w:rFonts w:hint="default"/>
          <w:lang w:val="en-US"/>
        </w:rPr>
      </w:pPr>
      <w:r>
        <w:t xml:space="preserve">Figure </w:t>
      </w:r>
      <w:r>
        <w:rPr>
          <w:rFonts w:hint="default"/>
          <w:lang w:val="en-US"/>
        </w:rPr>
        <w:t xml:space="preserve">9: Churn Rate by Income Level. This bar graph indicate that, the low </w:t>
      </w:r>
      <w:r>
        <w:rPr>
          <w:rFonts w:hint="default"/>
          <w:lang w:val="en-US"/>
        </w:rPr>
        <w:tab/>
        <w:t>income earners shows the highest rate of churn.</w:t>
      </w:r>
    </w:p>
    <w:p w14:paraId="037AA114">
      <w:pPr>
        <w:rPr>
          <w:rFonts w:hint="default"/>
          <w:lang w:val="en-US"/>
        </w:rPr>
      </w:pPr>
    </w:p>
    <w:p w14:paraId="0D721319">
      <w:r>
        <w:drawing>
          <wp:inline distT="0" distB="0" distL="114300" distR="114300">
            <wp:extent cx="5271135" cy="3251835"/>
            <wp:effectExtent l="0" t="0" r="571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F977">
      <w:pPr>
        <w:pStyle w:val="3"/>
        <w:rPr>
          <w:rFonts w:hint="default"/>
          <w:lang w:val="en-US"/>
        </w:rPr>
      </w:pPr>
      <w:r>
        <w:t xml:space="preserve">Figure </w:t>
      </w:r>
      <w:r>
        <w:rPr>
          <w:rFonts w:hint="default"/>
          <w:lang w:val="en-US"/>
        </w:rPr>
        <w:t xml:space="preserve">10: This is a Correlation Heat map for Age, Income Level, Login </w:t>
      </w:r>
      <w:r>
        <w:rPr>
          <w:rFonts w:hint="default"/>
          <w:lang w:val="en-US"/>
        </w:rPr>
        <w:tab/>
        <w:t>Frequency and Amount Spent.</w:t>
      </w:r>
    </w:p>
    <w:p w14:paraId="77EFF0C2">
      <w:pPr>
        <w:rPr>
          <w:rFonts w:hint="default"/>
          <w:lang w:val="en-US"/>
        </w:rPr>
      </w:pPr>
    </w:p>
    <w:p w14:paraId="760FD363">
      <w:pPr>
        <w:rPr>
          <w:rFonts w:hint="default"/>
          <w:lang w:val="en-US"/>
        </w:rPr>
      </w:pPr>
    </w:p>
    <w:p w14:paraId="4F2FC7BB">
      <w:pPr>
        <w:pStyle w:val="2"/>
      </w:pPr>
      <w:r>
        <w:t>Data Cleaning and Preparation</w:t>
      </w:r>
    </w:p>
    <w:p w14:paraId="18FC2D0D">
      <w:r>
        <w:t xml:space="preserve">Data cleaning involved handling missing values, detecting and addressing outliers, and </w:t>
      </w:r>
      <w:r>
        <w:rPr>
          <w:lang w:val="en-US"/>
        </w:rPr>
        <w:t>normalizing</w:t>
      </w:r>
      <w:r>
        <w:t>/</w:t>
      </w:r>
      <w:r>
        <w:rPr>
          <w:lang w:val="en-US"/>
        </w:rPr>
        <w:t>standardizing</w:t>
      </w:r>
      <w:r>
        <w:t xml:space="preserve"> numerical features. Categorical features were encoded using one-hot encoding to prepare the data for machine learning algorithms.</w:t>
      </w:r>
      <w:bookmarkStart w:id="0" w:name="_GoBack"/>
      <w:bookmarkEnd w:id="0"/>
    </w:p>
    <w:p w14:paraId="23EC0BDB">
      <w:pPr>
        <w:rPr>
          <w:rFonts w:hint="default"/>
          <w:lang w:val="en-US"/>
        </w:rPr>
      </w:pPr>
    </w:p>
    <w:p w14:paraId="7DF2255B">
      <w:pPr>
        <w:rPr>
          <w:rFonts w:hint="default"/>
          <w:lang w:val="en-US"/>
        </w:rPr>
      </w:pPr>
    </w:p>
    <w:p w14:paraId="468A79B7">
      <w:pPr>
        <w:rPr>
          <w:rFonts w:hint="default"/>
          <w:lang w:val="en-US"/>
        </w:rPr>
      </w:pPr>
    </w:p>
    <w:p w14:paraId="51E53783"/>
    <w:p w14:paraId="39F1835B"/>
    <w:p w14:paraId="519F170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B5821"/>
    <w:rsid w:val="05446F2E"/>
    <w:rsid w:val="0F404DD9"/>
    <w:rsid w:val="16F80EF1"/>
    <w:rsid w:val="19034F5C"/>
    <w:rsid w:val="30437CE4"/>
    <w:rsid w:val="394C7BC5"/>
    <w:rsid w:val="45FB5821"/>
    <w:rsid w:val="532F3286"/>
    <w:rsid w:val="5B6A1223"/>
    <w:rsid w:val="5EA357F5"/>
    <w:rsid w:val="6D0417E8"/>
    <w:rsid w:val="79A52F94"/>
    <w:rsid w:val="7EFF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2024-10-13T16:13:00Z</dcterms:created>
  <dc:creator>USER</dc:creator>
  <cp:lastModifiedBy>USER</cp:lastModifiedBy>
  <dcterms:modified xsi:type="dcterms:W3CDTF">2024-10-13T17:15:18Z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E0CCC0382F0345F790923099235027FD_11</vt:lpwstr>
  </property>
</Properties>
</file>