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Métodos</w:t>
      </w:r>
      <w:r>
        <w:t xml:space="preserve"> </w:t>
      </w:r>
      <w:r>
        <w:t xml:space="preserve">de</w:t>
      </w:r>
      <w:r>
        <w:t xml:space="preserve"> </w:t>
      </w:r>
      <w:r>
        <w:t xml:space="preserve">Pesquisa</w:t>
      </w:r>
      <w:r>
        <w:t xml:space="preserve"> </w:t>
      </w:r>
      <w:r>
        <w:t xml:space="preserve">em</w:t>
      </w:r>
      <w:r>
        <w:t xml:space="preserve"> </w:t>
      </w:r>
      <w:r>
        <w:t xml:space="preserve">Terapia</w:t>
      </w:r>
      <w:r>
        <w:t xml:space="preserve"> </w:t>
      </w:r>
      <w:r>
        <w:t xml:space="preserve">da</w:t>
      </w:r>
      <w:r>
        <w:t xml:space="preserve"> </w:t>
      </w:r>
      <w:r>
        <w:t xml:space="preserve">Fala</w:t>
      </w:r>
      <w:r>
        <w:t xml:space="preserve"> </w:t>
      </w:r>
      <w:r>
        <w:t xml:space="preserve">II</w:t>
      </w:r>
    </w:p>
    <w:p>
      <w:pPr>
        <w:pStyle w:val="Subtitle"/>
      </w:pPr>
      <w:r>
        <w:t xml:space="preserve">Trabalho</w:t>
      </w:r>
      <w:r>
        <w:t xml:space="preserve"> </w:t>
      </w:r>
      <w:r>
        <w:t xml:space="preserve">de</w:t>
      </w:r>
      <w:r>
        <w:t xml:space="preserve"> </w:t>
      </w:r>
      <w:r>
        <w:t xml:space="preserve">avaliação:</w:t>
      </w:r>
      <w:r>
        <w:t xml:space="preserve"> </w:t>
      </w:r>
      <w:r>
        <w:t xml:space="preserve">protocolo</w:t>
      </w:r>
      <w:r>
        <w:t xml:space="preserve"> </w:t>
      </w:r>
      <w:r>
        <w:t xml:space="preserve">abreviado</w:t>
      </w:r>
      <w:r>
        <w:t xml:space="preserve"> </w:t>
      </w:r>
      <w:r>
        <w:t xml:space="preserve">de</w:t>
      </w:r>
      <w:r>
        <w:t xml:space="preserve"> </w:t>
      </w:r>
      <w:r>
        <w:t xml:space="preserve">revisão</w:t>
      </w:r>
      <w:r>
        <w:t xml:space="preserve"> </w:t>
      </w:r>
      <w:r>
        <w:t xml:space="preserve">sistemática</w:t>
      </w:r>
      <w:r>
        <w:t xml:space="preserve"> </w:t>
      </w:r>
      <w:r>
        <w:t xml:space="preserve">e</w:t>
      </w:r>
      <w:r>
        <w:t xml:space="preserve"> </w:t>
      </w:r>
      <w:r>
        <w:t xml:space="preserve">defesa</w:t>
      </w:r>
      <w:r>
        <w:t xml:space="preserve"> </w:t>
      </w:r>
      <w:r>
        <w:t xml:space="preserve">oral</w:t>
      </w:r>
    </w:p>
    <w:p>
      <w:pPr>
        <w:pStyle w:val="FirstParagraph"/>
      </w:pPr>
      <w:r>
        <w:t xml:space="preserve">Licenciatura em Terapia da Fala, 2.º ano, 1.º semestre, 2026/27. Docente: Joana Miguel (joana.miguel@scml.pt). Versão de 22 de setembro de 2026.</w:t>
      </w:r>
    </w:p>
    <w:p>
      <w:pPr>
        <w:pStyle w:val="Heading1"/>
      </w:pPr>
      <w:bookmarkStart w:id="20" w:name="natureza-e-objetivo-do-trabalho"/>
      <w:r>
        <w:t xml:space="preserve">1. Natureza e objetivo do trabalho</w:t>
      </w:r>
      <w:bookmarkEnd w:id="20"/>
    </w:p>
    <w:p>
      <w:pPr>
        <w:pStyle w:val="FirstParagraph"/>
      </w:pPr>
      <w:r>
        <w:t xml:space="preserve">O trabalho é individual e tem duas partes: um protocolo abreviado de revisão sistemática, escrito, sobre uma pergunta clínica em terapia da fala que nasce de uma dúvida do próprio estudante; e a defesa oral desse protocolo, em aula.</w:t>
      </w:r>
    </w:p>
    <w:p>
      <w:pPr>
        <w:pStyle w:val="BodyText"/>
      </w:pPr>
      <w:r>
        <w:t xml:space="preserve">Um protocolo é o plano de uma revisão, escrito antes de a revisão ser feita. Chama-se abreviado porque contém só as secções essenciais, à escala de uma unidade curricular de 2.º ano, seguindo os itens da declaração PRISMA-P (Moher et al., 2015; Shamseer et al., 2015) que aqui se aplicam. Não se pede a realização da revisão; pede-se que cada passo do caminho, da dúvida à pesquisa, seja feito uma vez pelo próprio estudante, de forma que outra pessoa o conseguisse repetir.</w:t>
      </w:r>
    </w:p>
    <w:p>
      <w:pPr>
        <w:pStyle w:val="BodyText"/>
      </w:pPr>
      <w:r>
        <w:t xml:space="preserve">A pergunta tem de ser do estudante. Em aula são mostrados exemplos de dúvidas clínicas transformadas em perguntas; esses temas não podem ser usados no trabalho.</w:t>
      </w:r>
    </w:p>
    <w:p>
      <w:pPr>
        <w:pStyle w:val="Heading1"/>
      </w:pPr>
      <w:bookmarkStart w:id="21" w:name="estrutura-do-protocolo"/>
      <w:r>
        <w:t xml:space="preserve">2. Estrutura do protocolo</w:t>
      </w:r>
      <w:bookmarkEnd w:id="21"/>
    </w:p>
    <w:p>
      <w:pPr>
        <w:pStyle w:val="FirstParagraph"/>
      </w:pPr>
      <w:r>
        <w:t xml:space="preserve">O protocolo tem entre 1500 e 2000 palavras, excluindo referências e anexos, e contém as oito secções seguintes, pela ordem indicada.</w:t>
      </w:r>
    </w:p>
    <w:p>
      <w:pPr>
        <w:numPr>
          <w:ilvl w:val="0"/>
          <w:numId w:val="1001"/>
        </w:numPr>
        <w:pStyle w:val="Compact"/>
      </w:pPr>
      <w:r>
        <w:t xml:space="preserve">A dúvida clínica, em duas ou três frases: de onde veio (uma situação de estágio, de família, uma notícia, uma prática que se vê e não se sabe se funciona), sem dados de pessoas reais.</w:t>
      </w:r>
    </w:p>
    <w:p>
      <w:pPr>
        <w:numPr>
          <w:ilvl w:val="0"/>
          <w:numId w:val="1001"/>
        </w:numPr>
        <w:pStyle w:val="Compact"/>
      </w:pPr>
      <w:r>
        <w:t xml:space="preserve">A pergunta em formato PICO(T) ou PESICO, com cada componente identificado por extenso.</w:t>
      </w:r>
    </w:p>
    <w:p>
      <w:pPr>
        <w:numPr>
          <w:ilvl w:val="0"/>
          <w:numId w:val="1001"/>
        </w:numPr>
        <w:pStyle w:val="Compact"/>
      </w:pPr>
      <w:r>
        <w:t xml:space="preserve">O que já se sabe: uma revisão sistemática publicada sobre o tema, identificada com referência completa, e o que ela encontrou, com números (quantos estudos incluiu, que efeito estimou e com que intervalo, quando os há); ou, se não existir revisão, a pesquisa que o demonstra (base, string, data, número de resultados) e o estudo mais próximo. Termina com a lacuna que o protocolo vem preencher.</w:t>
      </w:r>
    </w:p>
    <w:p>
      <w:pPr>
        <w:numPr>
          <w:ilvl w:val="0"/>
          <w:numId w:val="1001"/>
        </w:numPr>
        <w:pStyle w:val="Compact"/>
      </w:pPr>
      <w:r>
        <w:t xml:space="preserve">Critérios de elegibilidade, numa tabela de cinco linhas (participantes, intervenção ou exposição, comparador, resultados, desenhos de estudo aceites), cada linha com uma justificação de uma frase.</w:t>
      </w:r>
    </w:p>
    <w:p>
      <w:pPr>
        <w:numPr>
          <w:ilvl w:val="0"/>
          <w:numId w:val="1001"/>
        </w:numPr>
        <w:pStyle w:val="Compact"/>
      </w:pPr>
      <w:r>
        <w:t xml:space="preserve">A pesquisa: uma base de dados à escolha (PubMed, B-on, SpeechBITE, entre outras), a string completa tal como foi executada, a data e o número de resultados; e a triagem dos primeiros vinte títulos devolvidos, em tabela, com a decisão (incluir para leitura do resumo, excluir) e o motivo de cada uma, com base nos critérios da secção 4.</w:t>
      </w:r>
    </w:p>
    <w:p>
      <w:pPr>
        <w:numPr>
          <w:ilvl w:val="0"/>
          <w:numId w:val="1001"/>
        </w:numPr>
        <w:pStyle w:val="Compact"/>
      </w:pPr>
      <w:r>
        <w:t xml:space="preserve">Risco de viés: o instrumento escolhido para os desenhos de estudo aceites (por exemplo, RoB 2 para ensaios aleatorizados ou ROBINS-I para estudos não aleatorizados), numa frase que diga porquê.</w:t>
      </w:r>
    </w:p>
    <w:p>
      <w:pPr>
        <w:numPr>
          <w:ilvl w:val="0"/>
          <w:numId w:val="1001"/>
        </w:numPr>
        <w:pStyle w:val="Compact"/>
      </w:pPr>
      <w:r>
        <w:t xml:space="preserve">Síntese: síntese narrativa ou meta-análise, e porquê, num parágrafo.</w:t>
      </w:r>
    </w:p>
    <w:p>
      <w:pPr>
        <w:numPr>
          <w:ilvl w:val="0"/>
          <w:numId w:val="1001"/>
        </w:numPr>
        <w:pStyle w:val="Compact"/>
      </w:pPr>
      <w:r>
        <w:t xml:space="preserve">Declaração de uso de inteligência artificial e referências, todas com DOI ou URL.</w:t>
      </w:r>
    </w:p>
    <w:p>
      <w:pPr>
        <w:pStyle w:val="FirstParagraph"/>
      </w:pPr>
      <w:r>
        <w:t xml:space="preserve">Os anexos são só os que a estrutura pede: a tabela dos vinte títulos triados pode ir em anexo se não couber no texto.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s oito secções do protocolo abreviado e o passo da defesa oral." title="" id="1" name="Picture"/>
            <a:graphic>
              <a:graphicData uri="http://schemas.openxmlformats.org/drawingml/2006/picture">
                <pic:pic>
                  <pic:nvPicPr>
                    <pic:cNvPr descr="fig_caminh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oito secções do protocolo abreviado e o passo da defesa oral.</w:t>
      </w:r>
    </w:p>
    <w:p>
      <w:pPr>
        <w:pStyle w:val="Heading1"/>
      </w:pPr>
      <w:bookmarkStart w:id="23" w:name="formato-e-entrega"/>
      <w:r>
        <w:t xml:space="preserve">3. Formato e entrega</w:t>
      </w:r>
      <w:bookmarkEnd w:id="23"/>
    </w:p>
    <w:p>
      <w:pPr>
        <w:pStyle w:val="FirstParagraph"/>
      </w:pPr>
      <w:r>
        <w:t xml:space="preserve">O protocolo é escrito em português europeu, formatado segundo a 7.ª edição do manual da American Psychological Association, e entregue em PDF na plataforma da unidade curricular até às 23:59 de 17 de novembro de 2026.</w:t>
      </w:r>
    </w:p>
    <w:p>
      <w:pPr>
        <w:pStyle w:val="Heading1"/>
      </w:pPr>
      <w:bookmarkStart w:id="24" w:name="calendário"/>
      <w:r>
        <w:t xml:space="preserve">4. Calendário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de outubro</w:t>
            </w:r>
          </w:p>
        </w:tc>
        <w:tc>
          <w:p>
            <w:pPr>
              <w:pStyle w:val="Compact"/>
              <w:jc w:val="left"/>
            </w:pPr>
            <w:r>
              <w:t xml:space="preserve">Dúvida clínica, numa frase, entregue em aula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 de outubro</w:t>
            </w:r>
          </w:p>
        </w:tc>
        <w:tc>
          <w:p>
            <w:pPr>
              <w:pStyle w:val="Compact"/>
              <w:jc w:val="left"/>
            </w:pPr>
            <w:r>
              <w:t xml:space="preserve">Pergunta PICO(T) ou PESICO em rascunho, trabalhada em aula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Até 20 de outubro</w:t>
            </w:r>
          </w:p>
        </w:tc>
        <w:tc>
          <w:p>
            <w:pPr>
              <w:pStyle w:val="Compact"/>
              <w:jc w:val="left"/>
            </w:pPr>
            <w:r>
              <w:t xml:space="preserve">Pedido de validação da pergunta, por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Até 24 de outubro</w:t>
            </w:r>
          </w:p>
        </w:tc>
        <w:tc>
          <w:p>
            <w:pPr>
              <w:pStyle w:val="Compact"/>
              <w:jc w:val="left"/>
            </w:pPr>
            <w:r>
              <w:t xml:space="preserve">Resposta da docente, por escrito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Até 31 de outubro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uma pergunta alternativa, se a primeira não tiver sido aceite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 de outubro</w:t>
            </w:r>
          </w:p>
        </w:tc>
        <w:tc>
          <w:p>
            <w:pPr>
              <w:pStyle w:val="Compact"/>
              <w:jc w:val="left"/>
            </w:pPr>
            <w:r>
              <w:t xml:space="preserve">Pesquisa executada e registada, em aula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de novembro</w:t>
            </w:r>
          </w:p>
        </w:tc>
        <w:tc>
          <w:p>
            <w:pPr>
              <w:pStyle w:val="Compact"/>
              <w:jc w:val="left"/>
            </w:pPr>
            <w:r>
              <w:t xml:space="preserve">Rascunho completo, para feedback em aula; sorteio da ordem das apresentações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de novembro</w:t>
            </w:r>
          </w:p>
        </w:tc>
        <w:tc>
          <w:p>
            <w:pPr>
              <w:pStyle w:val="Compact"/>
              <w:jc w:val="left"/>
            </w:pPr>
            <w:r>
              <w:t xml:space="preserve">Defesa oral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 de novembro, 23:59</w:t>
            </w:r>
          </w:p>
        </w:tc>
        <w:tc>
          <w:p>
            <w:pPr>
              <w:pStyle w:val="Compact"/>
              <w:jc w:val="left"/>
            </w:pPr>
            <w:r>
              <w:t xml:space="preserve">Entrega do protocolo escrito</w:t>
            </w:r>
          </w:p>
        </w:tc>
      </w:tr>
    </w:tbl>
    <w:p>
      <w:pPr>
        <w:pStyle w:val="BodyText"/>
      </w:pPr>
      <w:r>
        <w:t xml:space="preserve">Uma pergunta não validada até 24 de outubro não pode ser usada no trabalho.</w:t>
      </w:r>
    </w:p>
    <w:p>
      <w:pPr>
        <w:pStyle w:val="Heading1"/>
      </w:pPr>
      <w:bookmarkStart w:id="25" w:name="defesa-oral"/>
      <w:r>
        <w:t xml:space="preserve">5. Defesa oral</w:t>
      </w:r>
      <w:bookmarkEnd w:id="25"/>
    </w:p>
    <w:p>
      <w:pPr>
        <w:pStyle w:val="FirstParagraph"/>
      </w:pPr>
      <w:r>
        <w:t xml:space="preserve">A defesa é individual e realiza-se em aula a 10 de novembro, com o suporte que o estudante escolher. Tem entre cinco e oito minutos (a duração exata é fixada quando se souber o número de estudantes inscritos), seguidos de dois minutos de perguntas. A ordem é sorteada em aula a 3 de novembro e publicada.</w:t>
      </w:r>
    </w:p>
    <w:p>
      <w:pPr>
        <w:pStyle w:val="BodyText"/>
      </w:pPr>
      <w:r>
        <w:t xml:space="preserve">A defesa não repete o protocolo; dá o passo que o escrito não dá. Segue quatro momentos: o cenário clínico de onde veio a dúvida e a pergunta; o método do protocolo, nas suas decisões principais; o que a evidência que existe hoje permite dizer, com os números da revisão publicada ou do estudo mais próximo; e a resposta à pergunta</w:t>
      </w:r>
      <w:r>
        <w:t xml:space="preserve"> </w:t>
      </w:r>
      <w:r>
        <w:t xml:space="preserve">“</w:t>
      </w:r>
      <w:r>
        <w:t xml:space="preserve">e agora?</w:t>
      </w:r>
      <w:r>
        <w:t xml:space="preserve">”</w:t>
      </w:r>
      <w:r>
        <w:t xml:space="preserve">: o que o estudante faria hoje, com a evidência que há, e o que o protocolo acrescentaria.</w:t>
      </w:r>
    </w:p>
    <w:p>
      <w:pPr>
        <w:pStyle w:val="BodyText"/>
      </w:pPr>
      <w:r>
        <w:t xml:space="preserve">A defesa é obrigatória: a falta sem justificação aceite pela escola corresponde a zero nesta componente, sendo o trabalho escrito avaliado normalmente. Os comentários dos colegas não contam para a classificação.</w:t>
      </w:r>
    </w:p>
    <w:p>
      <w:pPr>
        <w:pStyle w:val="Heading1"/>
      </w:pPr>
      <w:bookmarkStart w:id="26" w:name="avaliação"/>
      <w:r>
        <w:t xml:space="preserve">6. Avaliação</w:t>
      </w:r>
      <w:bookmarkEnd w:id="26"/>
    </w:p>
    <w:p>
      <w:pPr>
        <w:pStyle w:val="Heading2"/>
      </w:pPr>
      <w:bookmarkStart w:id="27" w:name="ponderação"/>
      <w:r>
        <w:t xml:space="preserve">6.1 Ponderação</w:t>
      </w:r>
      <w:bookmarkEnd w:id="27"/>
    </w:p>
    <w:p>
      <w:pPr>
        <w:pStyle w:val="FirstParagraph"/>
      </w:pPr>
      <w:r>
        <w:t xml:space="preserve">O trabalho corresponde a 100 % da classificação da unidade curricular, repartidos entre o protocolo escrito (60 %) e a sua defesa oral (40 %), ponderação acordada com a coordenação da unidade curricular. A aprovação exige classificação final igual ou superior a 10 valores. A classificação de cada componente resulta da grelha respetiva, arredondada às décimas; a classificação final é arredondada nos termos do regulamento da escola.</w:t>
      </w:r>
    </w:p>
    <w:p>
      <w:pPr>
        <w:pStyle w:val="Heading2"/>
      </w:pPr>
      <w:bookmarkStart w:id="28" w:name="grelha-do-protocolo-escrito"/>
      <w:r>
        <w:t xml:space="preserve">6.2 Grelha do protocolo escrito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distingue um trabalho muito bom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Dúvida, pergunta e o que já se sabe (secções 1 a 3)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A pergunta tem todos os componentes identificados e é respondível por uma revisão; a revisão publicada é a certa para a pergunta e o que ela encontrou está dito com números (estudos, efeito, intervalo); a lacuna decorre desses números. Sem números da literatura, este critério não passa de 13.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Critérios de elegibilidade (secção 4)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Cada critério é operacional (um segundo revisor decidiria igual), justificado numa frase e coerente com a pergunta.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Pesquisa e triagem (secção 5)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A string está completa, executa-se e devolve o número de resultados declarado na data indicada; usa termos controlados e sinónimos; a triagem dos vinte títulos aplica os critérios da secção 4 e cada decisão tem motivo.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Risco de viés e síntese (secções 6 e 7)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 instrumento corresponde aos desenhos aceites; a escolha entre síntese narrativa e meta-análise é justificada.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Escrita, formato e integridade (secção 8 e todo o texto)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Texto claro, dentro do limite de palavras, APA 7 sem erros sistemáticos, referências verificáveis, declaração de inteligência artificial presente e específica.</w:t>
            </w:r>
          </w:p>
        </w:tc>
      </w:tr>
    </w:tbl>
    <w:p>
      <w:pPr>
        <w:pStyle w:val="BodyText"/>
      </w:pPr>
      <w:r>
        <w:t xml:space="preserve">Cada critério é classificado de 0 a 20 valores e ponderado pelo peso indicado.</w:t>
      </w:r>
    </w:p>
    <w:p>
      <w:pPr>
        <w:pStyle w:val="Heading2"/>
      </w:pPr>
      <w:bookmarkStart w:id="29" w:name="grelha-da-defesa-oral"/>
      <w:r>
        <w:t xml:space="preserve">6.3 Grelha da defesa oral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distingue uma defesa muito boa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Cenário clínico e pergunta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Em um minuto o ouvinte sabe de onde veio a dúvida, qual é a pergunta e porque interessa.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Método defendido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As decisões do protocolo (critérios, base, string, instrumento, síntese) são explicadas e justificadas; o ouvinte conseguia repetir a pesquisa.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t xml:space="preserve">“</w:t>
            </w:r>
            <w:r>
              <w:t xml:space="preserve">E agora?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O que a evidência existente permite dizer é apresentado com os seus números e limites; a decisão de hoje é coerente com essa evidência e com o que o protocolo acrescentaria.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Tempo e perguntas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Cumpre o tempo; responde às perguntas com o que sabe e admite o que não sabe.</w:t>
            </w:r>
          </w:p>
        </w:tc>
      </w:tr>
    </w:tbl>
    <w:p>
      <w:pPr>
        <w:pStyle w:val="Heading1"/>
      </w:pPr>
      <w:bookmarkStart w:id="30" w:name="regras"/>
      <w:r>
        <w:t xml:space="preserve">7. Regras</w:t>
      </w:r>
      <w:bookmarkEnd w:id="30"/>
    </w:p>
    <w:p>
      <w:pPr>
        <w:pStyle w:val="Heading2"/>
      </w:pPr>
      <w:bookmarkStart w:id="31" w:name="referências"/>
      <w:r>
        <w:t xml:space="preserve">7.1 Referências</w:t>
      </w:r>
      <w:bookmarkEnd w:id="31"/>
    </w:p>
    <w:p>
      <w:pPr>
        <w:pStyle w:val="FirstParagraph"/>
      </w:pPr>
      <w:r>
        <w:t xml:space="preserve">Todas as referências têm de existir e corresponder ao conteúdo citado. Antes da leitura do trabalho, a docente verifica cada referência em bases bibliográficas públicas, e o resultado dessa verificação é guardado. As referências sem DOI (livros, capítulos, relatórios) têm de conter os dados necessários à sua localização.</w:t>
      </w:r>
    </w:p>
    <w:p>
      <w:pPr>
        <w:pStyle w:val="BodyText"/>
      </w:pPr>
      <w:r>
        <w:t xml:space="preserve">Os erros de forma numa referência que existe e sustenta o que é citado (gralha no DOI, ano, páginas ou nome de autor) são penalizados no critério 5 da grelha, como qualquer outro erro de formatação.</w:t>
      </w:r>
    </w:p>
    <w:p>
      <w:pPr>
        <w:pStyle w:val="BodyText"/>
      </w:pPr>
      <w:r>
        <w:t xml:space="preserve">Uma referência que não existe, ou que existe mas não sustenta a afirmação que lhe é atribuída, é um problema de integridade: a afirmação é considerada não sustentada e perde os pontos correspondentes no critério a que pertence, e o critério 5 é classificado com zero.</w:t>
      </w:r>
    </w:p>
    <w:p>
      <w:pPr>
        <w:pStyle w:val="BodyText"/>
      </w:pPr>
      <w:r>
        <w:t xml:space="preserve">Havendo mais do que uma referência nestas condições, ou indícios de geração automática de bibliografia, o trabalho é anulado e o caso é comunicado à escola nos termos do regulamento, depois de o estudante ser ouvido.</w:t>
      </w:r>
    </w:p>
    <w:p>
      <w:pPr>
        <w:pStyle w:val="Heading2"/>
      </w:pPr>
      <w:bookmarkStart w:id="32" w:name="inteligência-artificial"/>
      <w:r>
        <w:t xml:space="preserve">7.2 Inteligência artificial</w:t>
      </w:r>
      <w:bookmarkEnd w:id="32"/>
    </w:p>
    <w:p>
      <w:pPr>
        <w:pStyle w:val="FirstParagraph"/>
      </w:pPr>
      <w:r>
        <w:t xml:space="preserve">É permitido usar ferramentas de inteligência artificial para rever a língua e a estrutura do texto e para explorar ideias. Não é permitido usá-las para gerar referências, dados, resultados de pesquisas em bases de dados, a triagem dos títulos ou texto apresentado como próprio sem revisão. O uso é declarado na secção 8 (ferramenta, finalidade e secções em que foi usada). O uso não declarado é tratado como incumprimento das regras de integridade académica, com as consequências previstas para o plágio.</w:t>
      </w:r>
    </w:p>
    <w:p>
      <w:pPr>
        <w:pStyle w:val="Heading2"/>
      </w:pPr>
      <w:bookmarkStart w:id="33" w:name="plágio-e-cópia"/>
      <w:r>
        <w:t xml:space="preserve">7.3 Plágio e cópia</w:t>
      </w:r>
      <w:bookmarkEnd w:id="33"/>
    </w:p>
    <w:p>
      <w:pPr>
        <w:pStyle w:val="FirstParagraph"/>
      </w:pPr>
      <w:r>
        <w:t xml:space="preserve">Os trabalhos são comparados entre si e com fontes públicas. Texto copiado sem citação, ou partes iguais entre trabalhos de estudantes diferentes, determinam a anulação de todos os trabalhos envolvidos e a comunicação à escola nos termos do regulamento.</w:t>
      </w:r>
    </w:p>
    <w:p>
      <w:pPr>
        <w:pStyle w:val="Heading2"/>
      </w:pPr>
      <w:bookmarkStart w:id="34" w:name="atrasos-na-entrega"/>
      <w:r>
        <w:t xml:space="preserve">7.4 Atrasos na entrega</w:t>
      </w:r>
      <w:bookmarkEnd w:id="34"/>
    </w:p>
    <w:p>
      <w:pPr>
        <w:pStyle w:val="FirstParagraph"/>
      </w:pPr>
      <w:r>
        <w:t xml:space="preserve">Cada dia de atraso desconta um valor na classificação do trabalho escrito, até ao máximo de três dias. Depois desse prazo o trabalho não é considerado nesta época de avaliação.</w:t>
      </w:r>
    </w:p>
    <w:p>
      <w:pPr>
        <w:pStyle w:val="Heading2"/>
      </w:pPr>
      <w:bookmarkStart w:id="35" w:name="ética"/>
      <w:r>
        <w:t xml:space="preserve">7.5 Ética</w:t>
      </w:r>
      <w:bookmarkEnd w:id="35"/>
    </w:p>
    <w:p>
      <w:pPr>
        <w:pStyle w:val="FirstParagraph"/>
      </w:pPr>
      <w:r>
        <w:t xml:space="preserve">Não se usam dados de pessoas reais. O cenário clínico da secção 1 é descrito sem nomes, sem datas e sem pormenores que permitam identificar alguém; os exemplos da secção 3 provêm da literatura publicada.</w:t>
      </w:r>
    </w:p>
    <w:p>
      <w:pPr>
        <w:pStyle w:val="Heading2"/>
      </w:pPr>
      <w:bookmarkStart w:id="36" w:name="casos-omissos"/>
      <w:r>
        <w:t xml:space="preserve">7.6 Casos omissos</w:t>
      </w:r>
      <w:bookmarkEnd w:id="36"/>
    </w:p>
    <w:p>
      <w:pPr>
        <w:pStyle w:val="FirstParagraph"/>
      </w:pPr>
      <w:r>
        <w:t xml:space="preserve">Em tudo o que este enunciado não prevê (épocas de avaliação, recurso, melhoria de classificação, estatutos especiais, justificação de faltas) aplica-se o regulamento da escola.</w:t>
      </w:r>
    </w:p>
    <w:p>
      <w:pPr>
        <w:pStyle w:val="Heading1"/>
      </w:pPr>
      <w:bookmarkStart w:id="37" w:name="devolução-dos-resultados"/>
      <w:r>
        <w:t xml:space="preserve">8. Devolução dos resultados</w:t>
      </w:r>
      <w:bookmarkEnd w:id="37"/>
    </w:p>
    <w:p>
      <w:pPr>
        <w:pStyle w:val="FirstParagraph"/>
      </w:pPr>
      <w:r>
        <w:t xml:space="preserve">Cada estudante recebe as duas grelhas preenchidas, com uma frase de evidência por critério e uma indicação do que faria subir a classificação, no prazo de devolução de classificações previsto pela escola.</w:t>
      </w:r>
    </w:p>
    <w:p>
      <w:pPr>
        <w:pStyle w:val="Heading1"/>
      </w:pPr>
      <w:bookmarkStart w:id="38" w:name="referências-1"/>
      <w:r>
        <w:t xml:space="preserve">Referências</w:t>
      </w:r>
      <w:bookmarkEnd w:id="38"/>
    </w:p>
    <w:p>
      <w:pPr>
        <w:pStyle w:val="FirstParagraph"/>
      </w:pPr>
      <w:r>
        <w:t xml:space="preserve">Moher, D., Shamseer, L., Clarke, M., Ghersi, D., Liberati, A., Petticrew, M., Shekelle, P., &amp; Stewart, L. A. (2015). Preferred reporting items for systematic review and meta-analysis protocols (PRISMA-P) 2015 statement.</w:t>
      </w:r>
      <w:r>
        <w:t xml:space="preserve"> </w:t>
      </w:r>
      <w:r>
        <w:rPr>
          <w:i/>
        </w:rPr>
        <w:t xml:space="preserve">Systematic Reviews, 4</w:t>
      </w:r>
      <w:r>
        <w:t xml:space="preserve">(1), 1. https://doi.org/10.1186/2046-4053-4-1</w:t>
      </w:r>
    </w:p>
    <w:p>
      <w:pPr>
        <w:pStyle w:val="BodyText"/>
      </w:pPr>
      <w:r>
        <w:t xml:space="preserve">Shamseer, L., Moher, D., Clarke, M., Ghersi, D., Liberati, A., Petticrew, M., Shekelle, P., &amp; Stewart, L. A. (2015). Preferred reporting items for systematic review and meta-analysis protocols (PRISMA-P) 2015: Elaboration and explanation.</w:t>
      </w:r>
      <w:r>
        <w:t xml:space="preserve"> </w:t>
      </w:r>
      <w:r>
        <w:rPr>
          <w:i/>
        </w:rPr>
        <w:t xml:space="preserve">BMJ, 349</w:t>
      </w:r>
      <w:r>
        <w:t xml:space="preserve">, g7647. https://doi.org/10.1136/bmj.g7647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eastAsia="Aptos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jc w:val="both"/>
    </w:pPr>
    <w:name w:val="Normal"/>
    <w:qFormat/>
  </w:style>
  <w:style w:type="paragraph" w:styleId="BodyText">
    <w:name w:val="Body Text"/>
    <w:basedOn w:val="Normal"/>
    <w:link w:val="BodyTextChar"/>
    <w:pPr>
      <w:jc w:val="both"/>
      <w:spacing w:before="180" w:after="180"/>
    </w:pPr>
    <w:qFormat/>
  </w:style>
  <w:style w:type="paragraph" w:customStyle="1" w:styleId="FirstParagraph">
    <w:pPr>
      <w:jc w:val="both"/>
    </w:p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ptos Display" w:hAnsi="Aptos Display" w:cs="Aptos Display"/>
      <w:b/>
      <w:color w:val="1D1D1B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ptos Display" w:hAnsi="Aptos Display" w:cs="Aptos Display"/>
      <w:color w:val="1D1D1B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ptos Display" w:hAnsi="Aptos Display" w:cs="Aptos Display"/>
      <w:b/>
      <w:color w:val="1D1D1B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ptos Display" w:hAnsi="Aptos Display" w:cs="Aptos Display"/>
      <w:b/>
      <w:color w:val="1D1D1B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ptos Display" w:hAnsi="Aptos Display" w:cs="Aptos Display"/>
      <w:b/>
      <w:color w:val="1D1D1B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D1D1B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D1D1B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D1D1B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D1D1B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D1D1B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D1D1B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D1D1B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D1D1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Métodos de Pesquisa em Terapia da Fala II</dc:title>
  <dc:creator/>
  <cp:keywords/>
  <dcterms:created xsi:type="dcterms:W3CDTF">2026-09-20T18:00:01Z</dcterms:created>
  <dcterms:modified xsi:type="dcterms:W3CDTF">2026-09-20T18:00:01Z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Trabalho de avaliação: protocolo abreviado de revisão sistemática e defesa oral</vt:lpwstr>
  </property>
</Properties>
</file>