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Mockups y pantallas de referencia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DD-06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actualizado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Criterio AS-IS / diseño / implementado</w:t>
      </w:r>
    </w:p>
    <w:p>
      <w:pPr>
        <w:spacing w:after="120"/>
        <w:jc w:val="both"/>
      </w:pPr>
      <w:r>
        <w:rPr>
          <w:b w:val="0"/>
          <w:i w:val="0"/>
        </w:rPr>
        <w:t>Los mockups de Fase 1 se conservan como intención de diseño, pero Fase 2 agrega el estado real de cada vista. Esto evita seguir etiquetando como TO-BE una capacidad que ya posee implementación parcial o completa.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Vista</w:t>
            </w:r>
          </w:p>
        </w:tc>
        <w:tc>
          <w:tcPr>
            <w:tcW w:type="dxa" w:w="691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Lectura Fase 2</w:t>
            </w:r>
          </w:p>
        </w:tc>
        <w:tc>
          <w:tcPr>
            <w:tcW w:type="dxa" w:w="172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Dashboard tablet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Referencia de diseño; parte de la adaptación responsiva se encuentra implementada.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Parcial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OT tablet + evidencia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Flujo móvil, autoasignación/reasignación y fotografías implementados.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 base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Checklist técnico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No estaba en mockup original; actualmente implementado con seis ítems y control de revisión.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Asistente/RAG offline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Mockup válido; contingencia offline aún pendiente.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Reporte PDF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Mockup válido; generación PDF aún pendiente.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Auditoría web</w:t>
            </w:r>
          </w:p>
        </w:tc>
        <w:tc>
          <w:tcPr>
            <w:tcW w:type="dxa" w:w="691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Backend/núcleo de auditoría implementado; interfaz de consulta final debe validarse.</w:t>
            </w:r>
          </w:p>
        </w:tc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Parcial</w:t>
            </w:r>
          </w:p>
        </w:tc>
      </w:tr>
    </w:tbl>
    <w:p>
      <w:pPr>
        <w:spacing w:after="40"/>
      </w:pPr>
    </w:p>
    <w:p>
      <w:pPr>
        <w:pStyle w:val="Heading1"/>
      </w:pPr>
      <w:r>
        <w:t>2. Dashboard tablet - diseño de referencia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79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Mockup heredado de Fase 1, revisado para Fase 2.</w:t>
      </w:r>
    </w:p>
    <w:p>
      <w:pPr>
        <w:pStyle w:val="Heading1"/>
      </w:pPr>
      <w:r>
        <w:t>3. OT tablet y captura de evidencia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496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9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Mockup heredado de Fase 1, revisado para Fase 2.</w:t>
      </w:r>
    </w:p>
    <w:p>
      <w:pPr>
        <w:pStyle w:val="Heading1"/>
      </w:pPr>
      <w:r>
        <w:t>4. Asistente técnico con modo de contingencia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4968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9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Mockup heredado de Fase 1, revisado para Fase 2.</w:t>
      </w:r>
    </w:p>
    <w:p>
      <w:pPr>
        <w:pStyle w:val="Heading1"/>
      </w:pPr>
      <w:r>
        <w:t>5. Reporte gerencial PDF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79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Mockup heredado de Fase 1, revisado para Fase 2.</w:t>
      </w:r>
    </w:p>
    <w:p>
      <w:pPr>
        <w:pStyle w:val="Heading1"/>
      </w:pPr>
      <w:r>
        <w:t>6. Auditoría web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792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Mockup heredado de Fase 1, revisado para Fase 2.</w:t>
      </w:r>
    </w:p>
    <w:p>
      <w:pPr>
        <w:pStyle w:val="Heading1"/>
      </w:pPr>
      <w:r>
        <w:t>7. Nuevos elementos de interfaz requeridos por Fase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216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604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Checklist de OT</w:t>
            </w:r>
          </w:p>
        </w:tc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Implementado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6 ítems obligatorios; guardado parcial; revisión/concurrencia.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Indicador online/offline</w:t>
            </w:r>
          </w:p>
        </w:tc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Parcial / por consolidar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Debe ser visible cuando la sincronización completa esté activa.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Cola de sincronización</w:t>
            </w:r>
          </w:p>
        </w:tc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Mostrar pendiente, sincronizando, sincronizado y error.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Resolución de conflicto</w:t>
            </w:r>
          </w:p>
        </w:tc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Evitar sobrescritura silenciosa y ofrecer acción clara.</w:t>
            </w:r>
          </w:p>
        </w:tc>
      </w:tr>
      <w:tr>
        <w:tc>
          <w:tcPr>
            <w:tcW w:type="dxa" w:w="31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Reintento manual</w:t>
            </w:r>
          </w:p>
        </w:tc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Pendiente</w:t>
            </w:r>
          </w:p>
        </w:tc>
        <w:tc>
          <w:tcPr>
            <w:tcW w:type="dxa" w:w="60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Respaldo cuando Background Sync no esté disponible.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DD-06 | v2.0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