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Calibri" w:hAnsi="Calibri"/>
          <w:b/>
          <w:color w:val="1F4E78"/>
          <w:sz w:val="48"/>
        </w:rPr>
        <w:t>Resolución de conflictos y decisiones</w:t>
      </w:r>
    </w:p>
    <w:p>
      <w:pPr>
        <w:jc w:val="center"/>
      </w:pPr>
      <w:r>
        <w:rPr>
          <w:color w:val="1F4E78"/>
          <w:sz w:val="34"/>
        </w:rPr>
        <w:t>Proyecto BARB - Capstone Fase 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Control documental</w:t>
            </w:r>
          </w:p>
        </w:tc>
        <w:tc>
          <w:tcPr>
            <w:tcW w:type="dxa" w:w="8352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Código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DG-03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Versión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2.0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Fecha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24-10-2026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Equipo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Luis Ovalle · Miguel Soto · Jorge Valdenegro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Metodología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Desarrollo incremental con Kanban para gestión, reuniones, responsables y seguimiento del avance.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Estado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Fase 2 - actualizado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/>
          <w:color w:val="1F4E78"/>
        </w:rPr>
        <w:t>Objetivo único del proyecto</w:t>
      </w:r>
    </w:p>
    <w:p>
      <w:pPr>
        <w:jc w:val="both"/>
      </w:pPr>
      <w:r>
        <w:t>Mejorar la gestión del mantenimiento industrial mediante la evolución del software BARB, incorporando funcionalidades que faciliten el trabajo en terreno, la continuidad operacional, la disponibilidad de información y la trazabilidad de las actividades de mantenimiento.</w:t>
      </w:r>
    </w:p>
    <w:p>
      <w:r>
        <w:br w:type="page"/>
      </w:r>
    </w:p>
    <w:p>
      <w:pPr>
        <w:pStyle w:val="Heading1"/>
      </w:pPr>
      <w:r>
        <w:t>1. Criterio</w:t>
      </w:r>
    </w:p>
    <w:p>
      <w:pPr>
        <w:spacing w:after="120"/>
        <w:jc w:val="both"/>
      </w:pPr>
      <w:r>
        <w:rPr>
          <w:b w:val="0"/>
          <w:i w:val="0"/>
        </w:rPr>
        <w:t>El documento registra discrepancias técnicas, metodológicas y de alcance; no inventa conflictos personales. Toda decisión con impacto debe actualizar requisitos, backlog, pruebas o documentación.</w:t>
      </w:r>
    </w:p>
    <w:p>
      <w:pPr>
        <w:pStyle w:val="Heading1"/>
      </w:pPr>
      <w:r>
        <w:t>2. Protocolo</w:t>
      </w:r>
    </w:p>
    <w:p>
      <w:pPr>
        <w:pStyle w:val="ListNumber"/>
        <w:spacing w:after="60"/>
      </w:pPr>
      <w:r>
        <w:t>Identificar y clasificar la discrepancia.</w:t>
      </w:r>
    </w:p>
    <w:p>
      <w:pPr>
        <w:pStyle w:val="ListNumber"/>
        <w:spacing w:after="60"/>
      </w:pPr>
      <w:r>
        <w:t>Revisar evidencia: requisito, correo, acta, código, prueba o retroalimentación docente.</w:t>
      </w:r>
    </w:p>
    <w:p>
      <w:pPr>
        <w:pStyle w:val="ListNumber"/>
        <w:spacing w:after="60"/>
      </w:pPr>
      <w:r>
        <w:t>Evaluar alternativas por riesgo, integridad, esfuerzo y valor.</w:t>
      </w:r>
    </w:p>
    <w:p>
      <w:pPr>
        <w:pStyle w:val="ListNumber"/>
        <w:spacing w:after="60"/>
      </w:pPr>
      <w:r>
        <w:t>Acordar internamente; escalar a contraparte/docente cuando afecte requisito o evaluación.</w:t>
      </w:r>
    </w:p>
    <w:p>
      <w:pPr>
        <w:pStyle w:val="ListNumber"/>
        <w:spacing w:after="60"/>
      </w:pPr>
      <w:r>
        <w:t>Registrar decisión, responsable y estado.</w:t>
      </w:r>
    </w:p>
    <w:p>
      <w:pPr>
        <w:pStyle w:val="ListNumber"/>
        <w:spacing w:after="60"/>
      </w:pPr>
      <w:r>
        <w:t>Actualizar documentos y tablero.</w:t>
      </w:r>
    </w:p>
    <w:p>
      <w:pPr>
        <w:pStyle w:val="Heading1"/>
      </w:pPr>
      <w:r>
        <w:t>3. Registro actualizado de decisiones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16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Tema</w:t>
            </w:r>
          </w:p>
        </w:tc>
        <w:tc>
          <w:tcPr>
            <w:tcW w:type="dxa" w:w="4032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Situación</w:t>
            </w:r>
          </w:p>
        </w:tc>
        <w:tc>
          <w:tcPr>
            <w:tcW w:type="dxa" w:w="4896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Decisión Fase 2</w:t>
            </w:r>
          </w:p>
        </w:tc>
        <w:tc>
          <w:tcPr>
            <w:tcW w:type="dxa" w:w="1728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Estado</w:t>
            </w:r>
          </w:p>
        </w:tc>
      </w:tr>
      <w:tr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Objetivos</w:t>
            </w:r>
          </w:p>
        </w:tc>
        <w:tc>
          <w:tcPr>
            <w:tcW w:type="dxa" w:w="40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Plantillas Duoc hablan de objetivo general/específicos, pero docente indicó uno solo.</w:t>
            </w:r>
          </w:p>
        </w:tc>
        <w:tc>
          <w:tcPr>
            <w:tcW w:type="dxa" w:w="48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Usar un único objetivo; incrementos no son objetivos específicos.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Resuelto</w:t>
            </w:r>
          </w:p>
        </w:tc>
      </w:tr>
      <w:tr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Metodología</w:t>
            </w:r>
          </w:p>
        </w:tc>
        <w:tc>
          <w:tcPr>
            <w:tcW w:type="dxa" w:w="40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Fase 1 registró Scrumban.</w:t>
            </w:r>
          </w:p>
        </w:tc>
        <w:tc>
          <w:tcPr>
            <w:tcW w:type="dxa" w:w="48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Formalizar desarrollo incremental + Kanban; conservar Scrumban solo como antecedente histórico.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Resuelto</w:t>
            </w:r>
          </w:p>
        </w:tc>
      </w:tr>
      <w:tr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Stack frontend</w:t>
            </w:r>
          </w:p>
        </w:tc>
        <w:tc>
          <w:tcPr>
            <w:tcW w:type="dxa" w:w="40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Documentación temprana mencionó otras tecnologías.</w:t>
            </w:r>
          </w:p>
        </w:tc>
        <w:tc>
          <w:tcPr>
            <w:tcW w:type="dxa" w:w="48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Usar arquitectura real: React 19 + TypeScript + Vite + Tailwind.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Resuelto</w:t>
            </w:r>
          </w:p>
        </w:tc>
      </w:tr>
      <w:tr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Modelo de datos</w:t>
            </w:r>
          </w:p>
        </w:tc>
        <w:tc>
          <w:tcPr>
            <w:tcW w:type="dxa" w:w="40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Modelo global de mayo puede interpretarse como físico implementado.</w:t>
            </w:r>
          </w:p>
        </w:tc>
        <w:tc>
          <w:tcPr>
            <w:tcW w:type="dxa" w:w="48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Separar modelo general de producto vs modelo real Capstone y extensiones implementadas.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Resuelto</w:t>
            </w:r>
          </w:p>
        </w:tc>
      </w:tr>
      <w:tr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Sync offline</w:t>
            </w:r>
          </w:p>
        </w:tc>
        <w:tc>
          <w:tcPr>
            <w:tcW w:type="dxa" w:w="40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LWW simplifica pero puede perder cambios.</w:t>
            </w:r>
          </w:p>
        </w:tc>
        <w:tc>
          <w:tcPr>
            <w:tcW w:type="dxa" w:w="48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Usar control de versión/concurrencia optimista; reglas finales con Alloxentric.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En validación</w:t>
            </w:r>
          </w:p>
        </w:tc>
      </w:tr>
      <w:tr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Fotos offline</w:t>
            </w:r>
          </w:p>
        </w:tc>
        <w:tc>
          <w:tcPr>
            <w:tcW w:type="dxa" w:w="40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Archivos pesados complican sync.</w:t>
            </w:r>
          </w:p>
        </w:tc>
        <w:tc>
          <w:tcPr>
            <w:tcW w:type="dxa" w:w="48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Separar I1.3-E y sincronizar después de la OT.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Resuelto de diseño</w:t>
            </w:r>
          </w:p>
        </w:tc>
      </w:tr>
      <w:tr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RAG offline</w:t>
            </w:r>
          </w:p>
        </w:tc>
        <w:tc>
          <w:tcPr>
            <w:tcW w:type="dxa" w:w="40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Podía interpretarse como LLM local obligatorio.</w:t>
            </w:r>
          </w:p>
        </w:tc>
        <w:tc>
          <w:tcPr>
            <w:tcW w:type="dxa" w:w="48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No exigir LLM local; priorizar fragmentos/manuales/fuentes.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Resuelto</w:t>
            </w:r>
          </w:p>
        </w:tc>
      </w:tr>
      <w:tr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Vercel</w:t>
            </w:r>
          </w:p>
        </w:tc>
        <w:tc>
          <w:tcPr>
            <w:tcW w:type="dxa" w:w="40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Despliegue aún no operativo.</w:t>
            </w:r>
          </w:p>
        </w:tc>
        <w:tc>
          <w:tcPr>
            <w:tcW w:type="dxa" w:w="48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Mantener como pendiente, no declarar cierre hasta validación pública.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5"/>
              </w:rPr>
              <w:t>Pendiente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BARB | Capstone Fase 2 | DG-03 | v2.0 | 24-10-2026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