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43CD15C9" w14:textId="77777777" w:rsidR="00CA5882" w:rsidRDefault="00000000" w:rsidP="003D39B5">
            <w:pPr>
              <w:spacing w:before="120"/>
              <w:jc w:val="both"/>
            </w:pPr>
            <w:r>
              <w:rPr>
                <w:rFonts w:ascii="Calibri" w:hAnsi="Calibri"/>
                <w:sz w:val="21"/>
              </w:rPr>
              <w:t>Respuesta:</w:t>
            </w:r>
            <w:r>
              <w:rPr>
                <w:rFonts w:ascii="Calibri" w:hAnsi="Calibri"/>
                <w:sz w:val="21"/>
              </w:rPr>
              <w:br/>
            </w:r>
            <w:r w:rsidRPr="003D39B5">
              <w:rPr>
                <w:rFonts w:eastAsiaTheme="majorEastAsia"/>
                <w:sz w:val="24"/>
                <w:szCs w:val="24"/>
              </w:rPr>
              <w:t xml:space="preserve">No hemos podido cumplir completamente la carta Gantt en los tiempos definidos. La planificación original ubicaba la PWA y el trabajo offline antes del RAG, PDF e integración, pero fue necesario detener esa secuencia para estabilizar la base heredada de BARB. Esta decisión permitió corregir problemas de arranque, persistencia PostgreSQL, contratos de usuarios y OT, fotografías, autoría y auditoría, cerrando P0.7 con 106 pruebas </w:t>
            </w:r>
            <w:proofErr w:type="spellStart"/>
            <w:r w:rsidRPr="003D39B5">
              <w:rPr>
                <w:rFonts w:eastAsiaTheme="majorEastAsia"/>
                <w:sz w:val="24"/>
                <w:szCs w:val="24"/>
              </w:rPr>
              <w:t>backend</w:t>
            </w:r>
            <w:proofErr w:type="spellEnd"/>
            <w:r w:rsidRPr="003D39B5">
              <w:rPr>
                <w:rFonts w:eastAsiaTheme="majorEastAsia"/>
                <w:sz w:val="24"/>
                <w:szCs w:val="24"/>
              </w:rPr>
              <w:t xml:space="preserve"> aprobadas y llegando posteriormente a un último registro de 108 pruebas. Como facilitadores destaco el uso de Git, ramas y Pull </w:t>
            </w:r>
            <w:proofErr w:type="spellStart"/>
            <w:r w:rsidRPr="003D39B5">
              <w:rPr>
                <w:rFonts w:eastAsiaTheme="majorEastAsia"/>
                <w:sz w:val="24"/>
                <w:szCs w:val="24"/>
              </w:rPr>
              <w:t>Requests</w:t>
            </w:r>
            <w:proofErr w:type="spellEnd"/>
            <w:r w:rsidRPr="003D39B5">
              <w:rPr>
                <w:rFonts w:eastAsiaTheme="majorEastAsia"/>
                <w:sz w:val="24"/>
                <w:szCs w:val="24"/>
              </w:rPr>
              <w:t>, las pruebas automatizadas y el trabajo incremental. Como dificultad principal, la estabilización consumió tiempo que originalmente estaba destinado a los incrementos funcionales y además el trabajo se concentró inicialmente en un integrante.</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DC9A0D4" w14:textId="77777777" w:rsidR="00CA5882" w:rsidRDefault="00000000" w:rsidP="000C2B0D">
            <w:pPr>
              <w:spacing w:before="120"/>
              <w:jc w:val="both"/>
            </w:pPr>
            <w:r>
              <w:rPr>
                <w:rFonts w:ascii="Calibri" w:hAnsi="Calibri"/>
                <w:sz w:val="21"/>
              </w:rPr>
              <w:t>Respuesta:</w:t>
            </w:r>
            <w:r>
              <w:rPr>
                <w:rFonts w:ascii="Calibri" w:hAnsi="Calibri"/>
                <w:sz w:val="21"/>
              </w:rPr>
              <w:br/>
            </w:r>
            <w:r w:rsidRPr="000C2B0D">
              <w:rPr>
                <w:rFonts w:eastAsiaTheme="majorEastAsia"/>
                <w:sz w:val="24"/>
                <w:szCs w:val="24"/>
              </w:rPr>
              <w:t xml:space="preserve">Las dificultades se han enfrentado priorizando primero los riesgos que podían afectar todo el proyecto y evitando una reingeniería general. En vez de continuar agregando funcionalidades sobre una base inestable, se trabajó por etapas pequeñas, con pruebas y regresión antes de integrar cambios. Para recuperar el avance, utilizaremos Kanban para visualizar pendientes, responsables y bloqueos; Miguel apoyará las pruebas y Jorge la documentación y coordinación con </w:t>
            </w:r>
            <w:proofErr w:type="spellStart"/>
            <w:r w:rsidRPr="000C2B0D">
              <w:rPr>
                <w:rFonts w:eastAsiaTheme="majorEastAsia"/>
                <w:sz w:val="24"/>
                <w:szCs w:val="24"/>
              </w:rPr>
              <w:t>Alloxentric</w:t>
            </w:r>
            <w:proofErr w:type="spellEnd"/>
            <w:r w:rsidRPr="000C2B0D">
              <w:rPr>
                <w:rFonts w:eastAsiaTheme="majorEastAsia"/>
                <w:sz w:val="24"/>
                <w:szCs w:val="24"/>
              </w:rPr>
              <w:t xml:space="preserve">. La prioridad inmediata será retomar el incremento móvil/PWA, preparar el despliegue en </w:t>
            </w:r>
            <w:proofErr w:type="spellStart"/>
            <w:r w:rsidRPr="000C2B0D">
              <w:rPr>
                <w:rFonts w:eastAsiaTheme="majorEastAsia"/>
                <w:sz w:val="24"/>
                <w:szCs w:val="24"/>
              </w:rPr>
              <w:t>Vercel</w:t>
            </w:r>
            <w:proofErr w:type="spellEnd"/>
            <w:r w:rsidRPr="000C2B0D">
              <w:rPr>
                <w:rFonts w:eastAsiaTheme="majorEastAsia"/>
                <w:sz w:val="24"/>
                <w:szCs w:val="24"/>
              </w:rPr>
              <w:t xml:space="preserve"> y mantener en la planificación RAG offline, PDF y la integración final de auditoría.</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B2BB291" w14:textId="77777777" w:rsidR="00CA5882" w:rsidRDefault="00000000" w:rsidP="000C2B0D">
            <w:pPr>
              <w:spacing w:before="120"/>
              <w:jc w:val="both"/>
            </w:pPr>
            <w:r>
              <w:rPr>
                <w:rFonts w:ascii="Calibri" w:hAnsi="Calibri"/>
                <w:sz w:val="21"/>
              </w:rPr>
              <w:t>Respuesta:</w:t>
            </w:r>
            <w:r>
              <w:rPr>
                <w:rFonts w:ascii="Calibri" w:hAnsi="Calibri"/>
                <w:sz w:val="21"/>
              </w:rPr>
              <w:br/>
            </w:r>
            <w:r w:rsidRPr="000C2B0D">
              <w:rPr>
                <w:rFonts w:eastAsiaTheme="majorEastAsia"/>
                <w:sz w:val="24"/>
                <w:szCs w:val="24"/>
              </w:rPr>
              <w:t>Evalúo mi trabajo positivamente en la coordinación y en el control técnico del proyecto, especialmente porque pude ordenar una base que presentaba problemas y dejar trazabilidad de las decisiones, pruebas y cambios realizados. Mi experiencia en planificación, control de procesos, bases de datos y seguimiento de proyectos me ha ayudado a organizar el trabajo y analizar los riesgos antes de seguir desarrollando. Sin embargo, debo mejorar la distribución de tareas. Durante gran parte del avance asumí prácticamente todas las actividades, lo que no es sostenible para el cierre. También debo evitar dedicar demasiado tiempo a perfeccionar la base técnica cuando ya existe una condición suficiente para continuar con los requerimientos funcionales.</w:t>
            </w:r>
          </w:p>
        </w:tc>
      </w:tr>
    </w:tbl>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466E3E71" w14:textId="77777777" w:rsidR="00CA5882" w:rsidRDefault="00000000">
            <w:pPr>
              <w:spacing w:before="120"/>
            </w:pPr>
            <w:r>
              <w:rPr>
                <w:rFonts w:ascii="Calibri" w:hAnsi="Calibri"/>
                <w:sz w:val="21"/>
              </w:rPr>
              <w:t>Respuesta:</w:t>
            </w:r>
            <w:r>
              <w:rPr>
                <w:rFonts w:ascii="Calibri" w:hAnsi="Calibri"/>
                <w:sz w:val="21"/>
              </w:rPr>
              <w:br/>
            </w:r>
            <w:r w:rsidRPr="000C2B0D">
              <w:rPr>
                <w:rFonts w:eastAsiaTheme="majorEastAsia"/>
                <w:sz w:val="24"/>
                <w:szCs w:val="24"/>
              </w:rPr>
              <w:t>Mi principal inquietud es cómo equilibrar el cumplimiento de la planificación original con los ajustes técnicos que fueron necesarios y que están respaldados por evidencia. Me gustaría confirmar con el docente si la estabilización P0.1–P0.7 puede presentarse formalmente como un ajuste justificado del plan de trabajo, manteniendo los cuatro requerimientos oficiales sin alterar el objetivo único del proyecto. También quisiera validar el nivel de profundidad esperado para documentar las pruebas ya ejecutadas frente a las que todavía quedan planificadas para PWA, RAG offline, PDF e integración.</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0E5E3FC2" w14:textId="77777777" w:rsidR="00CA5882" w:rsidRDefault="00000000" w:rsidP="000E5710">
            <w:pPr>
              <w:spacing w:before="120"/>
              <w:jc w:val="both"/>
            </w:pPr>
            <w:r>
              <w:rPr>
                <w:rFonts w:ascii="Calibri" w:hAnsi="Calibri"/>
                <w:sz w:val="21"/>
              </w:rPr>
              <w:t>Respuesta:</w:t>
            </w:r>
            <w:r>
              <w:rPr>
                <w:rFonts w:ascii="Calibri" w:hAnsi="Calibri"/>
                <w:sz w:val="21"/>
              </w:rPr>
              <w:br/>
            </w:r>
            <w:r w:rsidRPr="000E5710">
              <w:rPr>
                <w:rFonts w:eastAsiaTheme="majorEastAsia"/>
                <w:sz w:val="24"/>
                <w:szCs w:val="24"/>
              </w:rPr>
              <w:t xml:space="preserve">Sí. A partir del monitoreo consideramos necesario redistribuir actividades. Luis continuará coordinando el proyecto y los desarrollos que actualmente concentran mayor contexto técnico. Miguel, que recientemente logró levantar el entorno, asumirá tareas de pruebas y validación para generar evidencia independiente de los incrementos. Jorge, que recién se incorpora a funciones del proyecto, apoyará la documentación y la integración/coordinación con </w:t>
            </w:r>
            <w:proofErr w:type="spellStart"/>
            <w:r w:rsidRPr="000E5710">
              <w:rPr>
                <w:rFonts w:eastAsiaTheme="majorEastAsia"/>
                <w:sz w:val="24"/>
                <w:szCs w:val="24"/>
              </w:rPr>
              <w:t>Alloxentric</w:t>
            </w:r>
            <w:proofErr w:type="spellEnd"/>
            <w:r w:rsidRPr="000E5710">
              <w:rPr>
                <w:rFonts w:eastAsiaTheme="majorEastAsia"/>
                <w:sz w:val="24"/>
                <w:szCs w:val="24"/>
              </w:rPr>
              <w:t xml:space="preserve">. La redistribución se irá reflejando en Kanban y en </w:t>
            </w:r>
            <w:proofErr w:type="spellStart"/>
            <w:r w:rsidRPr="000E5710">
              <w:rPr>
                <w:rFonts w:eastAsiaTheme="majorEastAsia"/>
                <w:sz w:val="24"/>
                <w:szCs w:val="24"/>
              </w:rPr>
              <w:t>CoreStream</w:t>
            </w:r>
            <w:proofErr w:type="spellEnd"/>
            <w:r w:rsidRPr="000E5710">
              <w:rPr>
                <w:rFonts w:eastAsiaTheme="majorEastAsia"/>
                <w:sz w:val="24"/>
                <w:szCs w:val="24"/>
              </w:rPr>
              <w:t xml:space="preserve"> para que cada actividad tenga responsable y evidencia verificable.</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09081418" w14:textId="77777777" w:rsidR="000E5710" w:rsidRDefault="000E5710" w:rsidP="3D28A338">
      <w:pPr>
        <w:spacing w:after="0" w:line="360" w:lineRule="auto"/>
        <w:jc w:val="both"/>
        <w:rPr>
          <w:color w:val="595959" w:themeColor="text1" w:themeTint="A6"/>
          <w:sz w:val="24"/>
          <w:szCs w:val="24"/>
          <w:lang w:eastAsia="ja-JP"/>
        </w:rPr>
      </w:pPr>
    </w:p>
    <w:p w14:paraId="577D27A7" w14:textId="77777777" w:rsidR="000E5710" w:rsidRDefault="000E5710"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50C0ACA0" w14:textId="2AEE5F82" w:rsidR="00CA5882" w:rsidRDefault="00000000">
            <w:pPr>
              <w:spacing w:before="120"/>
            </w:pPr>
            <w:r>
              <w:rPr>
                <w:rFonts w:ascii="Calibri" w:hAnsi="Calibri"/>
                <w:sz w:val="21"/>
              </w:rPr>
              <w:t>Respuesta:</w:t>
            </w:r>
            <w:r>
              <w:rPr>
                <w:rFonts w:ascii="Calibri" w:hAnsi="Calibri"/>
                <w:sz w:val="21"/>
              </w:rPr>
              <w:br/>
            </w:r>
            <w:r w:rsidRPr="000E5710">
              <w:rPr>
                <w:rFonts w:eastAsiaTheme="majorEastAsia"/>
                <w:sz w:val="24"/>
                <w:szCs w:val="24"/>
              </w:rPr>
              <w:t xml:space="preserve">Como equipo valoramos que se ha mantenido la continuidad del proyecto pese a las dificultades técnicas y que actualmente existe una base más estable y documentada que al inicio. Destacamos la disposición para incorporarse al trabajo y la posibilidad de distribuir mejor las actividades desde esta etapa. </w:t>
            </w:r>
            <w:r w:rsidR="006507FC" w:rsidRPr="000E5710">
              <w:rPr>
                <w:rFonts w:eastAsiaTheme="majorEastAsia"/>
                <w:sz w:val="24"/>
                <w:szCs w:val="24"/>
              </w:rPr>
              <w:t>El principal aspecto para mejorar</w:t>
            </w:r>
            <w:r w:rsidRPr="000E5710">
              <w:rPr>
                <w:rFonts w:eastAsiaTheme="majorEastAsia"/>
                <w:sz w:val="24"/>
                <w:szCs w:val="24"/>
              </w:rPr>
              <w:t xml:space="preserve"> es la participación equilibrada y anticipada: hasta ahora gran parte del avance técnico y de coordinación se concentró en Luis. Para el cierre necesitamos que las pruebas, la documentación y la relación con la contraparte tengan responsables claros, evidencia en el repositorio y seguimiento periódico mediante Kanban.</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BA909" w14:textId="77777777" w:rsidR="003C0907" w:rsidRDefault="003C0907" w:rsidP="00DF38AE">
      <w:pPr>
        <w:spacing w:after="0" w:line="240" w:lineRule="auto"/>
      </w:pPr>
      <w:r>
        <w:separator/>
      </w:r>
    </w:p>
  </w:endnote>
  <w:endnote w:type="continuationSeparator" w:id="0">
    <w:p w14:paraId="691054AC" w14:textId="77777777" w:rsidR="003C0907" w:rsidRDefault="003C090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3D69D" w14:textId="77777777" w:rsidR="003C0907" w:rsidRDefault="003C0907" w:rsidP="00DF38AE">
      <w:pPr>
        <w:spacing w:after="0" w:line="240" w:lineRule="auto"/>
      </w:pPr>
      <w:r>
        <w:separator/>
      </w:r>
    </w:p>
  </w:footnote>
  <w:footnote w:type="continuationSeparator" w:id="0">
    <w:p w14:paraId="42818E5E" w14:textId="77777777" w:rsidR="003C0907" w:rsidRDefault="003C090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25327970">
    <w:abstractNumId w:val="3"/>
  </w:num>
  <w:num w:numId="2" w16cid:durableId="1316109238">
    <w:abstractNumId w:val="8"/>
  </w:num>
  <w:num w:numId="3" w16cid:durableId="62680175">
    <w:abstractNumId w:val="12"/>
  </w:num>
  <w:num w:numId="4" w16cid:durableId="820929368">
    <w:abstractNumId w:val="28"/>
  </w:num>
  <w:num w:numId="5" w16cid:durableId="936521968">
    <w:abstractNumId w:val="30"/>
  </w:num>
  <w:num w:numId="6" w16cid:durableId="602999354">
    <w:abstractNumId w:val="4"/>
  </w:num>
  <w:num w:numId="7" w16cid:durableId="36321020">
    <w:abstractNumId w:val="11"/>
  </w:num>
  <w:num w:numId="8" w16cid:durableId="2124837061">
    <w:abstractNumId w:val="19"/>
  </w:num>
  <w:num w:numId="9" w16cid:durableId="1697656672">
    <w:abstractNumId w:val="15"/>
  </w:num>
  <w:num w:numId="10" w16cid:durableId="1208949207">
    <w:abstractNumId w:val="9"/>
  </w:num>
  <w:num w:numId="11" w16cid:durableId="881744500">
    <w:abstractNumId w:val="24"/>
  </w:num>
  <w:num w:numId="12" w16cid:durableId="1872645307">
    <w:abstractNumId w:val="35"/>
  </w:num>
  <w:num w:numId="13" w16cid:durableId="58796679">
    <w:abstractNumId w:val="29"/>
  </w:num>
  <w:num w:numId="14" w16cid:durableId="1770081635">
    <w:abstractNumId w:val="1"/>
  </w:num>
  <w:num w:numId="15" w16cid:durableId="138502717">
    <w:abstractNumId w:val="36"/>
  </w:num>
  <w:num w:numId="16" w16cid:durableId="822745918">
    <w:abstractNumId w:val="21"/>
  </w:num>
  <w:num w:numId="17" w16cid:durableId="1925259541">
    <w:abstractNumId w:val="17"/>
  </w:num>
  <w:num w:numId="18" w16cid:durableId="251865498">
    <w:abstractNumId w:val="31"/>
  </w:num>
  <w:num w:numId="19" w16cid:durableId="1947033776">
    <w:abstractNumId w:val="10"/>
  </w:num>
  <w:num w:numId="20" w16cid:durableId="1459299173">
    <w:abstractNumId w:val="39"/>
  </w:num>
  <w:num w:numId="21" w16cid:durableId="1961951841">
    <w:abstractNumId w:val="34"/>
  </w:num>
  <w:num w:numId="22" w16cid:durableId="1077242461">
    <w:abstractNumId w:val="13"/>
  </w:num>
  <w:num w:numId="23" w16cid:durableId="528301643">
    <w:abstractNumId w:val="14"/>
  </w:num>
  <w:num w:numId="24" w16cid:durableId="1443915576">
    <w:abstractNumId w:val="5"/>
  </w:num>
  <w:num w:numId="25" w16cid:durableId="149298123">
    <w:abstractNumId w:val="16"/>
  </w:num>
  <w:num w:numId="26" w16cid:durableId="43330602">
    <w:abstractNumId w:val="20"/>
  </w:num>
  <w:num w:numId="27" w16cid:durableId="1292714596">
    <w:abstractNumId w:val="23"/>
  </w:num>
  <w:num w:numId="28" w16cid:durableId="1979795747">
    <w:abstractNumId w:val="0"/>
  </w:num>
  <w:num w:numId="29" w16cid:durableId="1484353717">
    <w:abstractNumId w:val="18"/>
  </w:num>
  <w:num w:numId="30" w16cid:durableId="904030965">
    <w:abstractNumId w:val="22"/>
  </w:num>
  <w:num w:numId="31" w16cid:durableId="150372166">
    <w:abstractNumId w:val="2"/>
  </w:num>
  <w:num w:numId="32" w16cid:durableId="211043709">
    <w:abstractNumId w:val="7"/>
  </w:num>
  <w:num w:numId="33" w16cid:durableId="163474492">
    <w:abstractNumId w:val="32"/>
  </w:num>
  <w:num w:numId="34" w16cid:durableId="1516920000">
    <w:abstractNumId w:val="38"/>
  </w:num>
  <w:num w:numId="35" w16cid:durableId="452094705">
    <w:abstractNumId w:val="6"/>
  </w:num>
  <w:num w:numId="36" w16cid:durableId="2587486">
    <w:abstractNumId w:val="25"/>
  </w:num>
  <w:num w:numId="37" w16cid:durableId="130833930">
    <w:abstractNumId w:val="37"/>
  </w:num>
  <w:num w:numId="38" w16cid:durableId="517474355">
    <w:abstractNumId w:val="27"/>
  </w:num>
  <w:num w:numId="39" w16cid:durableId="1095590111">
    <w:abstractNumId w:val="26"/>
  </w:num>
  <w:num w:numId="40" w16cid:durableId="152274514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2B0D"/>
    <w:rsid w:val="000C3147"/>
    <w:rsid w:val="000C7A66"/>
    <w:rsid w:val="000D0A5B"/>
    <w:rsid w:val="000D0CA9"/>
    <w:rsid w:val="000D144C"/>
    <w:rsid w:val="000D14DD"/>
    <w:rsid w:val="000D44DB"/>
    <w:rsid w:val="000D51CA"/>
    <w:rsid w:val="000D6778"/>
    <w:rsid w:val="000D773A"/>
    <w:rsid w:val="000E0EBC"/>
    <w:rsid w:val="000E4FEC"/>
    <w:rsid w:val="000E56F6"/>
    <w:rsid w:val="000E5710"/>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0907"/>
    <w:rsid w:val="003C1A05"/>
    <w:rsid w:val="003C1B93"/>
    <w:rsid w:val="003C462C"/>
    <w:rsid w:val="003C46F1"/>
    <w:rsid w:val="003C6EF2"/>
    <w:rsid w:val="003C7326"/>
    <w:rsid w:val="003C7E7C"/>
    <w:rsid w:val="003D0AB6"/>
    <w:rsid w:val="003D1433"/>
    <w:rsid w:val="003D2094"/>
    <w:rsid w:val="003D35F2"/>
    <w:rsid w:val="003D3910"/>
    <w:rsid w:val="003D39B5"/>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07FC"/>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4629"/>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336"/>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588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868</Words>
  <Characters>4777</Characters>
  <Application>Microsoft Office Word</Application>
  <DocSecurity>0</DocSecurity>
  <Lines>39</Lines>
  <Paragraphs>11</Paragraphs>
  <ScaleCrop>false</ScaleCrop>
  <Company>Wal-Mart Stores, Inc.</Company>
  <LinksUpToDate>false</LinksUpToDate>
  <CharactersWithSpaces>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Luis Ovalle</cp:lastModifiedBy>
  <cp:revision>47</cp:revision>
  <cp:lastPrinted>2019-12-16T20:10:00Z</cp:lastPrinted>
  <dcterms:created xsi:type="dcterms:W3CDTF">2021-12-31T12:50:00Z</dcterms:created>
  <dcterms:modified xsi:type="dcterms:W3CDTF">2026-10-10T22:51:00Z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